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60" w:line="240" w:lineRule="auto"/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jc w:val="center"/>
        <w:spacing w:after="60" w:line="240" w:lineRule="auto"/>
        <w:shd w:val="clear" w:color="auto" w:fill="ffffff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ПОЯСНИТЕЛЬНАЯ ЗАПИСКА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jc w:val="center"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к проекту Закона Пензенской области «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й в статьи 2 и 4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Закон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Пензенской област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и «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  <w:t xml:space="preserve">О квотировании рабочих мест для отдельных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6"/>
          <w:szCs w:val="26"/>
        </w:rPr>
        <w:t xml:space="preserve">категорий граждан в Пензенской области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»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r>
    </w:p>
    <w:p>
      <w:pPr>
        <w:contextualSpacing/>
        <w:ind w:left="0" w:right="0" w:firstLine="709"/>
        <w:jc w:val="both"/>
        <w:shd w:val="clear" w:color="ffffff" w:fill="ffffff"/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Во исполнение Указа Президента Российской Федерации от 15.05.2026 № 327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 «О 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и в целях обеспечения единообразного подхода в субъектах Российской Федерации к предоставлению мер поддержки лицам, принимающим (принимавшим) участие в специальной военной операции, и другим категориям лиц, настоящим проектом закона вносятся изменения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в статью 2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Закон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а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 Пензенской област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 xml:space="preserve">и «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</w:rPr>
        <w:t xml:space="preserve">О квотировании рабочих мест для отдельных категорий граждан в Пензенской области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</w:rPr>
        <w:t xml:space="preserve">».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</w:rPr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6"/>
          <w:szCs w:val="26"/>
        </w:rPr>
      </w:r>
    </w:p>
    <w:p>
      <w:pPr>
        <w:contextualSpacing/>
        <w:ind w:left="0" w:right="0" w:firstLine="709"/>
        <w:jc w:val="both"/>
        <w:shd w:val="nil" w:color="auto"/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Также настоящий законопроект предлагает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при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определении размера и условии установления квоты для приема на работу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 учитывать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численность работников, которые должны быть трудоустроены в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 целях исполнения квоты.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none"/>
          <w14:ligatures w14:val="none"/>
        </w:rPr>
      </w:r>
    </w:p>
    <w:p>
      <w:pPr>
        <w:contextualSpacing/>
        <w:ind w:left="0" w:right="0" w:firstLine="709"/>
        <w:jc w:val="both"/>
        <w:shd w:val="nil" w:color="auto"/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Численность работников, которые должны быть трудоустроены в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 целях исполнения квоты,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рассчитывается работодателем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ежеквартально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, до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10-го числа месяца, следующего за отчетным кварталом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, исходя из среднесписочной численности работников за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предыдущий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 квартал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highlight w:val="white"/>
        </w:rPr>
        <w:t xml:space="preserve">без учета работников представительств и филиалов работодателя, р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асположенных в других субъектах Российской Федерации, а также численности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работник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ов, условия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труда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на рабочих местах которых отнесены к вредным и (или) опасным условиям труда по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результатам специальной оценки условий труда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</w:p>
    <w:p>
      <w:pPr>
        <w:contextualSpacing/>
        <w:ind w:left="0" w:right="0"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Квота для приема на работу граждан, указанных в </w:t>
      </w:r>
      <w:hyperlink w:tooltip="#P19" w:anchor="P19" w:history="1">
        <w:r>
          <w:rPr>
            <w:rFonts w:ascii="Times New Roman" w:hAnsi="Times New Roman" w:eastAsia="Times New Roman" w:cs="Times New Roman"/>
            <w:color w:val="0000ff"/>
            <w:sz w:val="26"/>
            <w:szCs w:val="26"/>
          </w:rPr>
          <w:t xml:space="preserve">статье 2</w:t>
        </w:r>
      </w:hyperlink>
      <w:r>
        <w:rPr>
          <w:rFonts w:ascii="Times New Roman" w:hAnsi="Times New Roman" w:eastAsia="Times New Roman" w:cs="Times New Roman"/>
          <w:sz w:val="26"/>
          <w:szCs w:val="26"/>
        </w:rPr>
        <w:t xml:space="preserve"> настоящего Закона, считается выполненной в случаях наличия у работодателя: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contextualSpacing/>
        <w:ind w:left="0" w:righ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1)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заключенного трудового договора с гражданином, относящимся к одной из категорий, указанных в </w:t>
      </w:r>
      <w:hyperlink w:tooltip="#P19" w:anchor="P19" w:history="1">
        <w:r>
          <w:rPr>
            <w:rFonts w:ascii="Times New Roman" w:hAnsi="Times New Roman" w:eastAsia="Times New Roman" w:cs="Times New Roman"/>
            <w:color w:val="0000ff"/>
            <w:sz w:val="26"/>
            <w:szCs w:val="26"/>
          </w:rPr>
          <w:t xml:space="preserve">статье 2</w:t>
        </w:r>
      </w:hyperlink>
      <w:r>
        <w:rPr>
          <w:rFonts w:ascii="Times New Roman" w:hAnsi="Times New Roman" w:eastAsia="Times New Roman" w:cs="Times New Roman"/>
          <w:sz w:val="26"/>
          <w:szCs w:val="26"/>
        </w:rPr>
        <w:t xml:space="preserve"> настоящего Закона, в соответствии с трудовым законодательством Российской Федерации;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ind w:left="0" w:right="0" w:firstLine="709"/>
        <w:jc w:val="both"/>
        <w:shd w:val="nil" w:color="auto"/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2) заключенного трудового договора между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гражданином,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относящимся к одной из категорий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указанных в </w:t>
      </w:r>
      <w:hyperlink w:tooltip="#P19" w:anchor="P19" w:history="1">
        <w:r>
          <w:rPr>
            <w:rFonts w:ascii="Times New Roman" w:hAnsi="Times New Roman" w:eastAsia="Times New Roman" w:cs="Times New Roman"/>
            <w:color w:val="0000ff"/>
            <w:sz w:val="26"/>
            <w:szCs w:val="26"/>
          </w:rPr>
          <w:t xml:space="preserve">статье 2</w:t>
        </w:r>
      </w:hyperlink>
      <w:r>
        <w:rPr>
          <w:rFonts w:ascii="Times New Roman" w:hAnsi="Times New Roman" w:eastAsia="Times New Roman" w:cs="Times New Roman"/>
          <w:sz w:val="26"/>
          <w:szCs w:val="26"/>
        </w:rPr>
        <w:t xml:space="preserve"> настоящего Закона,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с иной организацией или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индивидуальным предпринимателем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заключившими соглашение о трудоустройстве 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гражданина,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относящегося к одной из категорий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, указанных в </w:t>
      </w:r>
      <w:hyperlink w:tooltip="#P19" w:anchor="P19" w:history="1">
        <w:r>
          <w:rPr>
            <w:rFonts w:ascii="Times New Roman" w:hAnsi="Times New Roman" w:eastAsia="Times New Roman" w:cs="Times New Roman"/>
            <w:color w:val="0000ff"/>
            <w:sz w:val="26"/>
            <w:szCs w:val="26"/>
          </w:rPr>
          <w:t xml:space="preserve">статье 2</w:t>
        </w:r>
      </w:hyperlink>
      <w:r>
        <w:rPr>
          <w:rFonts w:ascii="Times New Roman" w:hAnsi="Times New Roman" w:eastAsia="Times New Roman" w:cs="Times New Roman"/>
          <w:sz w:val="26"/>
          <w:szCs w:val="26"/>
        </w:rPr>
        <w:t xml:space="preserve"> настоящего Закона,</w:t>
      </w:r>
      <w:r>
        <w:rPr>
          <w:rFonts w:ascii="Times New Roman" w:hAnsi="Times New Roman" w:eastAsia="Times New Roman" w:cs="Times New Roman"/>
          <w:sz w:val="26"/>
          <w:szCs w:val="26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highlight w:val="none"/>
        </w:rPr>
        <w:t xml:space="preserve">с работодателем, которому установлена квота</w:t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sz w:val="26"/>
          <w:szCs w:val="26"/>
          <w:highlight w:val="none"/>
          <w14:ligatures w14:val="none"/>
        </w:rPr>
      </w:r>
    </w:p>
    <w:p>
      <w:pPr>
        <w:contextualSpacing/>
        <w:ind w:left="0" w:right="0" w:firstLine="709"/>
        <w:jc w:val="both"/>
        <w:shd w:val="nil" w:color="auto"/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  <w:t xml:space="preserve">Данный законопроект разр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аботан в целях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выполнения установленной законом квоты,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соблюдения законодательства,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оптимизации затрат работодателей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не оборудовать собственные рабочие места, а компенсировать затраты другой организации, которая уже их создала), 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расширения пула работодателей (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компании, у которых физически нет возможности создать рабочие места, могут участвовать в выполнении квоты через соглашение с другой организацией).</w:t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contextualSpacing/>
        <w:ind w:left="0" w:right="0" w:firstLine="709"/>
        <w:jc w:val="both"/>
        <w:shd w:val="nil" w:color="auto"/>
        <w:rPr>
          <w:rFonts w:ascii="Times New Roman" w:hAnsi="Times New Roman" w:cs="Times New Roman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  <w:r>
        <w:rPr>
          <w:rFonts w:ascii="Times New Roman" w:hAnsi="Times New Roman" w:cs="Times New Roman"/>
          <w:sz w:val="26"/>
          <w:szCs w:val="26"/>
          <w14:ligatures w14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Министр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труда, социальной защиты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right="8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и демографии Пензенской области                                                            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А.А. Качан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footnotePr/>
      <w:endnotePr/>
      <w:type w:val="nextPage"/>
      <w:pgSz w:w="11909" w:h="16834" w:orient="portrait"/>
      <w:pgMar w:top="539" w:right="728" w:bottom="567" w:left="126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28"/>
      <w:isLgl w:val="false"/>
      <w:suff w:val="nothing"/>
      <w:lvlText w:val=""/>
      <w:lvlJc w:val="left"/>
      <w:pPr/>
      <w:rPr>
        <w:rFonts w:hint="default" w:cs="Times New Roman"/>
      </w:rPr>
    </w:lvl>
    <w:lvl w:ilvl="1">
      <w:start w:val="1"/>
      <w:numFmt w:val="none"/>
      <w:lvlRestart w:val="0"/>
      <w:pStyle w:val="829"/>
      <w:isLgl w:val="false"/>
      <w:suff w:val="nothing"/>
      <w:lvlText w:val=""/>
      <w:lvlJc w:val="left"/>
      <w:pPr/>
      <w:rPr>
        <w:rFonts w:hint="default" w:cs="Times New Roman"/>
        <w:sz w:val="24"/>
        <w:szCs w:val="24"/>
      </w:rPr>
    </w:lvl>
    <w:lvl w:ilvl="2">
      <w:start w:val="1"/>
      <w:numFmt w:val="decimal"/>
      <w:pStyle w:val="830"/>
      <w:isLgl w:val="false"/>
      <w:suff w:val="space"/>
      <w:lvlText w:val="Глава %3."/>
      <w:lvlJc w:val="left"/>
      <w:pPr>
        <w:ind w:left="1701" w:hanging="1134"/>
      </w:pPr>
      <w:rPr>
        <w:rFonts w:hint="default"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pStyle w:val="831"/>
      <w:isLgl w:val="false"/>
      <w:suff w:val="nothing"/>
      <w:lvlText w:val="Статья %4"/>
      <w:lvlJc w:val="left"/>
      <w:pPr>
        <w:ind w:left="1701" w:hanging="1134"/>
      </w:pPr>
      <w:rPr>
        <w:rFonts w:hint="default" w:cs="Times New Roman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pStyle w:val="832"/>
      <w:isLgl w:val="false"/>
      <w:suff w:val="nothing"/>
      <w:lvlText w:val="%5"/>
      <w:lvlJc w:val="left"/>
      <w:pPr>
        <w:ind w:left="284"/>
      </w:pPr>
      <w:rPr>
        <w:rFonts w:hint="default" w:cs="Times New Roman"/>
      </w:rPr>
    </w:lvl>
    <w:lvl w:ilvl="5">
      <w:start w:val="1"/>
      <w:numFmt w:val="decimal"/>
      <w:pStyle w:val="841"/>
      <w:isLgl w:val="false"/>
      <w:suff w:val="tab"/>
      <w:lvlText w:val="%6."/>
      <w:lvlJc w:val="left"/>
      <w:pPr>
        <w:ind w:firstLine="567"/>
        <w:tabs>
          <w:tab w:val="num" w:pos="927" w:leader="none"/>
        </w:tabs>
      </w:pPr>
      <w:rPr>
        <w:rFonts w:hint="default" w:cs="Times New Roman"/>
      </w:rPr>
    </w:lvl>
    <w:lvl w:ilvl="6">
      <w:start w:val="1"/>
      <w:numFmt w:val="decimal"/>
      <w:pStyle w:val="842"/>
      <w:isLgl w:val="false"/>
      <w:suff w:val="space"/>
      <w:lvlText w:val="%7) "/>
      <w:lvlJc w:val="left"/>
      <w:pPr>
        <w:ind w:left="344" w:firstLine="283"/>
      </w:pPr>
      <w:rPr>
        <w:rFonts w:hint="default" w:cs="Times New Roman"/>
      </w:rPr>
    </w:lvl>
    <w:lvl w:ilvl="7">
      <w:start w:val="1"/>
      <w:numFmt w:val="russianLower"/>
      <w:pStyle w:val="843"/>
      <w:isLgl w:val="false"/>
      <w:suff w:val="space"/>
      <w:lvlText w:val="%8)"/>
      <w:lvlJc w:val="left"/>
      <w:pPr>
        <w:ind w:left="567" w:firstLine="284"/>
      </w:pPr>
      <w:rPr>
        <w:rFonts w:hint="default" w:cs="Times New Roman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isLgl w:val="false"/>
      <w:suff w:val="nothing"/>
      <w:lvlText w:val=""/>
      <w:lvlJc w:val="left"/>
      <w:pPr>
        <w:ind w:left="284"/>
      </w:pPr>
      <w:rPr>
        <w:rFonts w:hint="default"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134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854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574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94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14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734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454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74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94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6"/>
    <w:basedOn w:val="827"/>
    <w:next w:val="827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1">
    <w:name w:val="Heading 6 Char"/>
    <w:basedOn w:val="833"/>
    <w:link w:val="660"/>
    <w:uiPriority w:val="9"/>
    <w:rPr>
      <w:rFonts w:ascii="Arial" w:hAnsi="Arial" w:eastAsia="Arial" w:cs="Arial"/>
      <w:b/>
      <w:bCs/>
      <w:sz w:val="22"/>
      <w:szCs w:val="22"/>
    </w:rPr>
  </w:style>
  <w:style w:type="paragraph" w:styleId="662">
    <w:name w:val="Heading 7"/>
    <w:basedOn w:val="827"/>
    <w:next w:val="827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3">
    <w:name w:val="Heading 7 Char"/>
    <w:basedOn w:val="833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basedOn w:val="827"/>
    <w:next w:val="827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5">
    <w:name w:val="Heading 8 Char"/>
    <w:basedOn w:val="833"/>
    <w:link w:val="664"/>
    <w:uiPriority w:val="9"/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basedOn w:val="827"/>
    <w:next w:val="827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>
    <w:name w:val="Heading 9 Char"/>
    <w:basedOn w:val="833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68">
    <w:name w:val="List Paragraph"/>
    <w:basedOn w:val="827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paragraph" w:styleId="670">
    <w:name w:val="Title"/>
    <w:basedOn w:val="827"/>
    <w:next w:val="827"/>
    <w:link w:val="6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1">
    <w:name w:val="Title Char"/>
    <w:basedOn w:val="833"/>
    <w:link w:val="670"/>
    <w:uiPriority w:val="10"/>
    <w:rPr>
      <w:sz w:val="48"/>
      <w:szCs w:val="48"/>
    </w:rPr>
  </w:style>
  <w:style w:type="paragraph" w:styleId="672">
    <w:name w:val="Subtitle"/>
    <w:basedOn w:val="827"/>
    <w:next w:val="827"/>
    <w:link w:val="673"/>
    <w:uiPriority w:val="11"/>
    <w:qFormat/>
    <w:pPr>
      <w:spacing w:before="200" w:after="200"/>
    </w:pPr>
    <w:rPr>
      <w:sz w:val="24"/>
      <w:szCs w:val="24"/>
    </w:rPr>
  </w:style>
  <w:style w:type="character" w:styleId="673">
    <w:name w:val="Subtitle Char"/>
    <w:basedOn w:val="833"/>
    <w:link w:val="672"/>
    <w:uiPriority w:val="11"/>
    <w:rPr>
      <w:sz w:val="24"/>
      <w:szCs w:val="24"/>
    </w:rPr>
  </w:style>
  <w:style w:type="paragraph" w:styleId="674">
    <w:name w:val="Quote"/>
    <w:basedOn w:val="827"/>
    <w:next w:val="827"/>
    <w:link w:val="675"/>
    <w:uiPriority w:val="29"/>
    <w:qFormat/>
    <w:pPr>
      <w:ind w:left="720" w:right="720"/>
    </w:pPr>
    <w:rPr>
      <w:i/>
    </w:rPr>
  </w:style>
  <w:style w:type="character" w:styleId="675">
    <w:name w:val="Quote Char"/>
    <w:link w:val="674"/>
    <w:uiPriority w:val="29"/>
    <w:rPr>
      <w:i/>
    </w:rPr>
  </w:style>
  <w:style w:type="paragraph" w:styleId="676">
    <w:name w:val="Intense Quote"/>
    <w:basedOn w:val="827"/>
    <w:next w:val="827"/>
    <w:link w:val="6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7">
    <w:name w:val="Intense Quote Char"/>
    <w:link w:val="676"/>
    <w:uiPriority w:val="30"/>
    <w:rPr>
      <w:i/>
    </w:rPr>
  </w:style>
  <w:style w:type="paragraph" w:styleId="678">
    <w:name w:val="Header"/>
    <w:basedOn w:val="827"/>
    <w:link w:val="67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9">
    <w:name w:val="Header Char"/>
    <w:basedOn w:val="833"/>
    <w:link w:val="678"/>
    <w:uiPriority w:val="99"/>
  </w:style>
  <w:style w:type="paragraph" w:styleId="680">
    <w:name w:val="Footer"/>
    <w:basedOn w:val="827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Footer Char"/>
    <w:basedOn w:val="833"/>
    <w:link w:val="680"/>
    <w:uiPriority w:val="99"/>
  </w:style>
  <w:style w:type="paragraph" w:styleId="682">
    <w:name w:val="Caption"/>
    <w:basedOn w:val="827"/>
    <w:next w:val="8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3">
    <w:name w:val="Caption Char"/>
    <w:basedOn w:val="682"/>
    <w:link w:val="680"/>
    <w:uiPriority w:val="99"/>
  </w:style>
  <w:style w:type="table" w:styleId="684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5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6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7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9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1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3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4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5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6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7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8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9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0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6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7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8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9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0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1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2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8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9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0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1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2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3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4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6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7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8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9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0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1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2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3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4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5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6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7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8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9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8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9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0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1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2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3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4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5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6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7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8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9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0">
    <w:name w:val="footnote text"/>
    <w:basedOn w:val="827"/>
    <w:link w:val="811"/>
    <w:uiPriority w:val="99"/>
    <w:semiHidden/>
    <w:unhideWhenUsed/>
    <w:pPr>
      <w:spacing w:after="40" w:line="240" w:lineRule="auto"/>
    </w:pPr>
    <w:rPr>
      <w:sz w:val="18"/>
    </w:rPr>
  </w:style>
  <w:style w:type="character" w:styleId="811">
    <w:name w:val="Footnote Text Char"/>
    <w:link w:val="810"/>
    <w:uiPriority w:val="99"/>
    <w:rPr>
      <w:sz w:val="18"/>
    </w:rPr>
  </w:style>
  <w:style w:type="character" w:styleId="812">
    <w:name w:val="footnote reference"/>
    <w:basedOn w:val="833"/>
    <w:uiPriority w:val="99"/>
    <w:unhideWhenUsed/>
    <w:rPr>
      <w:vertAlign w:val="superscript"/>
    </w:rPr>
  </w:style>
  <w:style w:type="paragraph" w:styleId="813">
    <w:name w:val="endnote text"/>
    <w:basedOn w:val="827"/>
    <w:link w:val="814"/>
    <w:uiPriority w:val="99"/>
    <w:semiHidden/>
    <w:unhideWhenUsed/>
    <w:pPr>
      <w:spacing w:after="0" w:line="240" w:lineRule="auto"/>
    </w:pPr>
    <w:rPr>
      <w:sz w:val="20"/>
    </w:rPr>
  </w:style>
  <w:style w:type="character" w:styleId="814">
    <w:name w:val="Endnote Text Char"/>
    <w:link w:val="813"/>
    <w:uiPriority w:val="99"/>
    <w:rPr>
      <w:sz w:val="20"/>
    </w:rPr>
  </w:style>
  <w:style w:type="character" w:styleId="815">
    <w:name w:val="endnote reference"/>
    <w:basedOn w:val="833"/>
    <w:uiPriority w:val="99"/>
    <w:semiHidden/>
    <w:unhideWhenUsed/>
    <w:rPr>
      <w:vertAlign w:val="superscript"/>
    </w:rPr>
  </w:style>
  <w:style w:type="paragraph" w:styleId="816">
    <w:name w:val="toc 1"/>
    <w:basedOn w:val="827"/>
    <w:next w:val="827"/>
    <w:uiPriority w:val="39"/>
    <w:unhideWhenUsed/>
    <w:pPr>
      <w:ind w:left="0" w:right="0" w:firstLine="0"/>
      <w:spacing w:after="57"/>
    </w:pPr>
  </w:style>
  <w:style w:type="paragraph" w:styleId="817">
    <w:name w:val="toc 2"/>
    <w:basedOn w:val="827"/>
    <w:next w:val="827"/>
    <w:uiPriority w:val="39"/>
    <w:unhideWhenUsed/>
    <w:pPr>
      <w:ind w:left="283" w:right="0" w:firstLine="0"/>
      <w:spacing w:after="57"/>
    </w:pPr>
  </w:style>
  <w:style w:type="paragraph" w:styleId="818">
    <w:name w:val="toc 3"/>
    <w:basedOn w:val="827"/>
    <w:next w:val="827"/>
    <w:uiPriority w:val="39"/>
    <w:unhideWhenUsed/>
    <w:pPr>
      <w:ind w:left="567" w:right="0" w:firstLine="0"/>
      <w:spacing w:after="57"/>
    </w:pPr>
  </w:style>
  <w:style w:type="paragraph" w:styleId="819">
    <w:name w:val="toc 4"/>
    <w:basedOn w:val="827"/>
    <w:next w:val="827"/>
    <w:uiPriority w:val="39"/>
    <w:unhideWhenUsed/>
    <w:pPr>
      <w:ind w:left="850" w:right="0" w:firstLine="0"/>
      <w:spacing w:after="57"/>
    </w:pPr>
  </w:style>
  <w:style w:type="paragraph" w:styleId="820">
    <w:name w:val="toc 5"/>
    <w:basedOn w:val="827"/>
    <w:next w:val="827"/>
    <w:uiPriority w:val="39"/>
    <w:unhideWhenUsed/>
    <w:pPr>
      <w:ind w:left="1134" w:right="0" w:firstLine="0"/>
      <w:spacing w:after="57"/>
    </w:pPr>
  </w:style>
  <w:style w:type="paragraph" w:styleId="821">
    <w:name w:val="toc 6"/>
    <w:basedOn w:val="827"/>
    <w:next w:val="827"/>
    <w:uiPriority w:val="39"/>
    <w:unhideWhenUsed/>
    <w:pPr>
      <w:ind w:left="1417" w:right="0" w:firstLine="0"/>
      <w:spacing w:after="57"/>
    </w:pPr>
  </w:style>
  <w:style w:type="paragraph" w:styleId="822">
    <w:name w:val="toc 7"/>
    <w:basedOn w:val="827"/>
    <w:next w:val="827"/>
    <w:uiPriority w:val="39"/>
    <w:unhideWhenUsed/>
    <w:pPr>
      <w:ind w:left="1701" w:right="0" w:firstLine="0"/>
      <w:spacing w:after="57"/>
    </w:pPr>
  </w:style>
  <w:style w:type="paragraph" w:styleId="823">
    <w:name w:val="toc 8"/>
    <w:basedOn w:val="827"/>
    <w:next w:val="827"/>
    <w:uiPriority w:val="39"/>
    <w:unhideWhenUsed/>
    <w:pPr>
      <w:ind w:left="1984" w:right="0" w:firstLine="0"/>
      <w:spacing w:after="57"/>
    </w:pPr>
  </w:style>
  <w:style w:type="paragraph" w:styleId="824">
    <w:name w:val="toc 9"/>
    <w:basedOn w:val="827"/>
    <w:next w:val="827"/>
    <w:uiPriority w:val="39"/>
    <w:unhideWhenUsed/>
    <w:pPr>
      <w:ind w:left="2268" w:right="0" w:firstLine="0"/>
      <w:spacing w:after="57"/>
    </w:pPr>
  </w:style>
  <w:style w:type="paragraph" w:styleId="825">
    <w:name w:val="TOC Heading"/>
    <w:uiPriority w:val="39"/>
    <w:unhideWhenUsed/>
  </w:style>
  <w:style w:type="paragraph" w:styleId="826">
    <w:name w:val="table of figures"/>
    <w:basedOn w:val="827"/>
    <w:next w:val="827"/>
    <w:uiPriority w:val="99"/>
    <w:unhideWhenUsed/>
    <w:pPr>
      <w:spacing w:after="0" w:afterAutospacing="0"/>
    </w:pPr>
  </w:style>
  <w:style w:type="paragraph" w:styleId="827" w:default="1">
    <w:name w:val="Normal"/>
    <w:qFormat/>
    <w:pPr>
      <w:spacing w:after="200" w:line="276" w:lineRule="auto"/>
    </w:pPr>
    <w:rPr>
      <w:rFonts w:cs="Calibri"/>
      <w:lang w:eastAsia="en-US"/>
    </w:rPr>
  </w:style>
  <w:style w:type="paragraph" w:styleId="828">
    <w:name w:val="Heading 1"/>
    <w:basedOn w:val="827"/>
    <w:next w:val="827"/>
    <w:link w:val="836"/>
    <w:uiPriority w:val="99"/>
    <w:qFormat/>
    <w:pPr>
      <w:numPr>
        <w:ilvl w:val="0"/>
        <w:numId w:val="1"/>
      </w:numPr>
      <w:jc w:val="center"/>
      <w:keepLines/>
      <w:keepNext/>
      <w:spacing w:after="360" w:line="240" w:lineRule="auto"/>
      <w:outlineLvl w:val="0"/>
    </w:pPr>
    <w:rPr>
      <w:rFonts w:ascii="Arial" w:hAnsi="Arial" w:eastAsia="Times New Roman" w:cs="Arial"/>
      <w:b/>
      <w:bCs/>
      <w:sz w:val="28"/>
      <w:szCs w:val="28"/>
    </w:rPr>
  </w:style>
  <w:style w:type="paragraph" w:styleId="829">
    <w:name w:val="Heading 2"/>
    <w:basedOn w:val="827"/>
    <w:next w:val="844"/>
    <w:link w:val="837"/>
    <w:uiPriority w:val="99"/>
    <w:qFormat/>
    <w:pPr>
      <w:numPr>
        <w:ilvl w:val="1"/>
        <w:numId w:val="1"/>
      </w:numPr>
      <w:jc w:val="center"/>
      <w:keepLines/>
      <w:keepNext/>
      <w:spacing w:after="360" w:line="240" w:lineRule="auto"/>
      <w:outlineLvl w:val="1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30">
    <w:name w:val="Heading 3"/>
    <w:basedOn w:val="827"/>
    <w:next w:val="831"/>
    <w:link w:val="838"/>
    <w:uiPriority w:val="99"/>
    <w:qFormat/>
    <w:pPr>
      <w:numPr>
        <w:ilvl w:val="2"/>
        <w:numId w:val="1"/>
      </w:numPr>
      <w:keepLines/>
      <w:keepNext/>
      <w:spacing w:before="360" w:after="0" w:line="240" w:lineRule="auto"/>
      <w:outlineLvl w:val="2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831">
    <w:name w:val="Heading 4"/>
    <w:basedOn w:val="827"/>
    <w:next w:val="844"/>
    <w:link w:val="839"/>
    <w:uiPriority w:val="99"/>
    <w:qFormat/>
    <w:pPr>
      <w:numPr>
        <w:ilvl w:val="3"/>
        <w:numId w:val="1"/>
      </w:numPr>
      <w:keepLines/>
      <w:keepNext/>
      <w:spacing w:before="240" w:after="0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832">
    <w:name w:val="Heading 5"/>
    <w:basedOn w:val="827"/>
    <w:next w:val="827"/>
    <w:link w:val="840"/>
    <w:uiPriority w:val="99"/>
    <w:qFormat/>
    <w:pPr>
      <w:numPr>
        <w:ilvl w:val="4"/>
        <w:numId w:val="1"/>
      </w:numPr>
      <w:ind w:right="284"/>
      <w:jc w:val="center"/>
      <w:keepNext/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833" w:default="1">
    <w:name w:val="Default Paragraph Font"/>
    <w:uiPriority w:val="99"/>
    <w:semiHidden/>
  </w:style>
  <w:style w:type="table" w:styleId="83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 w:customStyle="1">
    <w:name w:val="Heading 1 Char"/>
    <w:basedOn w:val="833"/>
    <w:link w:val="828"/>
    <w:uiPriority w:val="99"/>
    <w:rPr>
      <w:rFonts w:ascii="Arial" w:hAnsi="Arial" w:cs="Arial"/>
      <w:b/>
      <w:bCs/>
      <w:sz w:val="20"/>
      <w:szCs w:val="20"/>
    </w:rPr>
  </w:style>
  <w:style w:type="character" w:styleId="837" w:customStyle="1">
    <w:name w:val="Heading 2 Char"/>
    <w:basedOn w:val="833"/>
    <w:link w:val="829"/>
    <w:uiPriority w:val="9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838" w:customStyle="1">
    <w:name w:val="Heading 3 Char"/>
    <w:basedOn w:val="833"/>
    <w:link w:val="830"/>
    <w:uiPriority w:val="99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839" w:customStyle="1">
    <w:name w:val="Heading 4 Char"/>
    <w:basedOn w:val="833"/>
    <w:link w:val="831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840" w:customStyle="1">
    <w:name w:val="Heading 5 Char"/>
    <w:basedOn w:val="833"/>
    <w:link w:val="832"/>
    <w:uiPriority w:val="9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841" w:customStyle="1">
    <w:name w:val="Стиль1"/>
    <w:basedOn w:val="827"/>
    <w:uiPriority w:val="99"/>
    <w:pPr>
      <w:numPr>
        <w:ilvl w:val="5"/>
        <w:numId w:val="1"/>
      </w:numPr>
      <w:jc w:val="both"/>
      <w:spacing w:before="120" w:after="0" w:line="240" w:lineRule="auto"/>
      <w:outlineLvl w:val="5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2" w:customStyle="1">
    <w:name w:val="Стиль2"/>
    <w:basedOn w:val="841"/>
    <w:uiPriority w:val="99"/>
    <w:pPr>
      <w:numPr>
        <w:ilvl w:val="6"/>
      </w:numPr>
      <w:spacing w:before="60"/>
      <w:outlineLvl w:val="6"/>
    </w:pPr>
  </w:style>
  <w:style w:type="paragraph" w:styleId="843" w:customStyle="1">
    <w:name w:val="Стиль4"/>
    <w:basedOn w:val="827"/>
    <w:uiPriority w:val="99"/>
    <w:pPr>
      <w:numPr>
        <w:ilvl w:val="7"/>
        <w:numId w:val="1"/>
      </w:num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4">
    <w:name w:val="Body Text"/>
    <w:basedOn w:val="827"/>
    <w:link w:val="845"/>
    <w:uiPriority w:val="99"/>
    <w:semiHidden/>
    <w:pPr>
      <w:spacing w:after="120"/>
    </w:pPr>
  </w:style>
  <w:style w:type="character" w:styleId="845" w:customStyle="1">
    <w:name w:val="Body Text Char"/>
    <w:basedOn w:val="833"/>
    <w:link w:val="844"/>
    <w:uiPriority w:val="99"/>
    <w:semiHidden/>
    <w:rPr>
      <w:rFonts w:cs="Times New Roman"/>
    </w:rPr>
  </w:style>
  <w:style w:type="paragraph" w:styleId="846">
    <w:name w:val="Body Text Indent 3"/>
    <w:basedOn w:val="827"/>
    <w:link w:val="847"/>
    <w:uiPriority w:val="99"/>
    <w:semiHidden/>
    <w:pPr>
      <w:ind w:left="283"/>
      <w:spacing w:after="120"/>
    </w:pPr>
    <w:rPr>
      <w:sz w:val="16"/>
      <w:szCs w:val="16"/>
    </w:rPr>
  </w:style>
  <w:style w:type="character" w:styleId="847" w:customStyle="1">
    <w:name w:val="Body Text Indent 3 Char"/>
    <w:basedOn w:val="833"/>
    <w:link w:val="846"/>
    <w:uiPriority w:val="99"/>
    <w:semiHidden/>
    <w:rPr>
      <w:rFonts w:cs="Times New Roman"/>
      <w:sz w:val="16"/>
      <w:szCs w:val="16"/>
    </w:rPr>
  </w:style>
  <w:style w:type="paragraph" w:styleId="848" w:customStyle="1">
    <w:name w:val="ConsPlusNormal"/>
    <w:uiPriority w:val="99"/>
    <w:rPr>
      <w:rFonts w:cs="Calibri"/>
      <w:b/>
      <w:bCs/>
      <w:sz w:val="28"/>
      <w:szCs w:val="28"/>
    </w:rPr>
  </w:style>
  <w:style w:type="paragraph" w:styleId="849" w:customStyle="1">
    <w:name w:val="Знак Знак1 Знак"/>
    <w:basedOn w:val="827"/>
    <w:uiPriority w:val="9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character" w:styleId="850" w:customStyle="1">
    <w:name w:val="Font Style11"/>
    <w:basedOn w:val="833"/>
    <w:uiPriority w:val="99"/>
    <w:rPr>
      <w:rFonts w:ascii="Times New Roman" w:hAnsi="Times New Roman" w:cs="Times New Roman"/>
      <w:sz w:val="26"/>
      <w:szCs w:val="26"/>
    </w:rPr>
  </w:style>
  <w:style w:type="character" w:styleId="851" w:customStyle="1">
    <w:name w:val="apple-converted-space"/>
    <w:basedOn w:val="833"/>
    <w:uiPriority w:val="99"/>
    <w:rPr>
      <w:rFonts w:cs="Times New Roman"/>
    </w:rPr>
  </w:style>
  <w:style w:type="paragraph" w:styleId="852">
    <w:name w:val="Normal (Web)"/>
    <w:basedOn w:val="827"/>
    <w:uiPriority w:val="99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853">
    <w:name w:val="Hyperlink"/>
    <w:basedOn w:val="833"/>
    <w:uiPriority w:val="99"/>
    <w:rPr>
      <w:rFonts w:cs="Times New Roman"/>
      <w:color w:val="0000ff"/>
      <w:u w:val="single"/>
    </w:rPr>
  </w:style>
  <w:style w:type="paragraph" w:styleId="854">
    <w:name w:val="Balloon Text"/>
    <w:basedOn w:val="827"/>
    <w:link w:val="855"/>
    <w:uiPriority w:val="99"/>
    <w:semiHidden/>
    <w:rPr>
      <w:rFonts w:ascii="Tahoma" w:hAnsi="Tahoma" w:cs="Tahoma"/>
      <w:sz w:val="16"/>
      <w:szCs w:val="16"/>
    </w:rPr>
  </w:style>
  <w:style w:type="character" w:styleId="855" w:customStyle="1">
    <w:name w:val="Balloon Text Char"/>
    <w:basedOn w:val="833"/>
    <w:link w:val="854"/>
    <w:uiPriority w:val="99"/>
    <w:semiHidden/>
    <w:rPr>
      <w:rFonts w:ascii="Times New Roman" w:hAnsi="Times New Roman" w:cs="Times New Roman"/>
      <w:sz w:val="2"/>
      <w:szCs w:val="2"/>
      <w:lang w:eastAsia="en-US"/>
    </w:rPr>
  </w:style>
  <w:style w:type="paragraph" w:styleId="856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57" w:customStyle="1">
    <w:name w:val="formattext topleveltext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Минтруд</Company>
  <DocSecurity>0</DocSecurity>
  <HyperlinksChanged>false</HyperlinksChanged>
  <LinksUpToDate>false</LinksUpToDate>
  <ScaleCrop>false</ScaleCrop>
  <SharedDoc>false</SharedDoc>
  <Template>Normal_Wordconv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Milka</dc:creator>
  <cp:keywords/>
  <dc:description/>
  <cp:revision>13</cp:revision>
  <dcterms:created xsi:type="dcterms:W3CDTF">2021-09-01T15:56:00Z</dcterms:created>
  <dcterms:modified xsi:type="dcterms:W3CDTF">2026-06-23T12:59:09Z</dcterms:modified>
</cp:coreProperties>
</file>