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1"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6140" cy="281940"/>
                <wp:effectExtent l="0" t="0" r="0" b="0"/>
                <wp:wrapNone/>
                <wp:docPr id="1" name="_x0000_s1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866139" cy="2819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84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Проект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  <w:p>
                            <w:pPr>
                              <w:pStyle w:val="884"/>
                            </w:pPr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524288;o:allowoverlap:true;o:allowincell:true;mso-position-horizontal-relative:page;margin-left:458.70pt;mso-position-horizontal:absolute;mso-position-vertical-relative:page;margin-top:36.00pt;mso-position-vertical:absolute;width:68.20pt;height:22.20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pStyle w:val="884"/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Проект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  <w:p>
                      <w:pPr>
                        <w:pStyle w:val="884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 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val="ru-RU"/>
        </w:rPr>
        <w:t xml:space="preserve">внесении изменений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val="ru-RU"/>
        </w:rPr>
        <w:t xml:space="preserve">в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val="ru-RU"/>
        </w:rPr>
        <w:t xml:space="preserve"> статьи 2 и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val="ru-RU"/>
        </w:rPr>
        <w:t xml:space="preserve"> 4 Закона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val="ru-RU"/>
        </w:rPr>
        <w:t xml:space="preserve"> Пензенской области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pStyle w:val="931"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«О квотировании рабочих мест для отдельных категорий граждан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pStyle w:val="93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в Пензенской области»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pStyle w:val="885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val="ru-RU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pStyle w:val="88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Внесен </w:t>
      </w:r>
      <w:r>
        <w:rPr>
          <w:sz w:val="26"/>
          <w:szCs w:val="26"/>
        </w:rPr>
        <w:t xml:space="preserve">Губернатором Пензенской области </w:t>
      </w:r>
      <w:r>
        <w:rPr>
          <w:sz w:val="26"/>
          <w:szCs w:val="26"/>
          <w:highlight w:val="white"/>
        </w:rPr>
        <w:t xml:space="preserve">О.В. Мельниченко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84"/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88"/>
        <w:numPr>
          <w:ilvl w:val="0"/>
          <w:numId w:val="0"/>
        </w:numPr>
        <w:ind w:firstLine="709"/>
        <w:jc w:val="both"/>
        <w:spacing w:before="0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  <w:lang w:val="ru-RU"/>
        </w:rPr>
        <w:t xml:space="preserve">Статья 1 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97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left="0" w:right="0" w:firstLine="425"/>
        <w:jc w:val="both"/>
        <w:shd w:val="nil" w:color="auto"/>
        <w:rPr>
          <w:sz w:val="24"/>
          <w:szCs w:val="24"/>
          <w:highlight w:val="none"/>
          <w14:ligatures w14:val="none"/>
        </w:rPr>
      </w:pPr>
      <w:r>
        <w:rPr>
          <w:sz w:val="24"/>
          <w:szCs w:val="24"/>
          <w:highlight w:val="white"/>
          <w:lang w:val="ru-RU"/>
        </w:rPr>
        <w:t xml:space="preserve">Внести </w:t>
      </w:r>
      <w:r>
        <w:rPr>
          <w:sz w:val="24"/>
          <w:szCs w:val="24"/>
          <w:highlight w:val="white"/>
          <w:lang w:val="ru-RU"/>
        </w:rPr>
        <w:t xml:space="preserve">в </w:t>
      </w:r>
      <w:r>
        <w:rPr>
          <w:sz w:val="24"/>
          <w:szCs w:val="24"/>
          <w:highlight w:val="white"/>
          <w:lang w:val="ru-RU"/>
        </w:rPr>
        <w:t xml:space="preserve">Зак</w:t>
      </w:r>
      <w:r>
        <w:rPr>
          <w:sz w:val="24"/>
          <w:szCs w:val="24"/>
          <w:highlight w:val="white"/>
          <w:lang w:val="ru-RU"/>
        </w:rPr>
        <w:t xml:space="preserve">он</w:t>
      </w:r>
      <w:r>
        <w:rPr>
          <w:sz w:val="24"/>
          <w:szCs w:val="24"/>
          <w:highlight w:val="white"/>
          <w:lang w:val="ru-RU"/>
        </w:rPr>
        <w:t xml:space="preserve"> Пензенской области от 26 сентября 2025 года № 4630 - ЗПО </w:t>
      </w:r>
      <w:r>
        <w:rPr>
          <w:sz w:val="24"/>
          <w:szCs w:val="24"/>
          <w:highlight w:val="white"/>
        </w:rPr>
        <w:t xml:space="preserve">«О квотировании рабочих мест для отдельных категорий граждан в Пензенской области»</w:t>
      </w:r>
      <w:r>
        <w:rPr>
          <w:sz w:val="24"/>
          <w:szCs w:val="24"/>
          <w:highlight w:val="white"/>
          <w:lang w:val="ru-RU"/>
        </w:rPr>
        <w:t xml:space="preserve"> </w:t>
      </w:r>
      <w:r>
        <w:rPr>
          <w:sz w:val="24"/>
          <w:szCs w:val="24"/>
          <w:highlight w:val="white"/>
          <w:lang w:val="ru-RU"/>
        </w:rPr>
        <w:t xml:space="preserve">(</w:t>
      </w:r>
      <w:r>
        <w:rPr>
          <w:sz w:val="24"/>
          <w:szCs w:val="24"/>
          <w:highlight w:val="white"/>
          <w:lang w:val="ru-RU"/>
        </w:rPr>
        <w:t xml:space="preserve">«Пензенские губернски</w:t>
      </w:r>
      <w:r>
        <w:rPr>
          <w:sz w:val="24"/>
          <w:szCs w:val="24"/>
          <w:highlight w:val="white"/>
          <w:lang w:val="ru-RU"/>
        </w:rPr>
        <w:t xml:space="preserve">е</w:t>
      </w:r>
      <w:r>
        <w:rPr>
          <w:sz w:val="24"/>
          <w:szCs w:val="24"/>
          <w:highlight w:val="white"/>
          <w:lang w:val="ru-RU"/>
        </w:rPr>
        <w:t xml:space="preserve"> ведомости», 2025, № 71) следующие </w:t>
      </w:r>
      <w:r>
        <w:rPr>
          <w:sz w:val="24"/>
          <w:szCs w:val="24"/>
          <w:highlight w:val="white"/>
          <w:lang w:val="ru-RU"/>
        </w:rPr>
        <w:t xml:space="preserve">изменения:</w:t>
      </w:r>
      <w:r>
        <w:rPr>
          <w:sz w:val="24"/>
          <w:szCs w:val="24"/>
          <w:highlight w:val="none"/>
          <w14:ligatures w14:val="none"/>
        </w:rPr>
      </w:r>
      <w:r>
        <w:rPr>
          <w:sz w:val="24"/>
          <w:szCs w:val="24"/>
          <w:highlight w:val="none"/>
          <w14:ligatures w14:val="none"/>
        </w:rPr>
      </w:r>
    </w:p>
    <w:p>
      <w:pPr>
        <w:pStyle w:val="724"/>
        <w:numPr>
          <w:ilvl w:val="0"/>
          <w:numId w:val="13"/>
        </w:numPr>
        <w:ind w:left="0" w:right="0" w:firstLine="425"/>
        <w:jc w:val="both"/>
        <w:shd w:val="nil" w:color="000000"/>
        <w:rPr>
          <w:sz w:val="24"/>
          <w:szCs w:val="24"/>
          <w:highlight w:val="white"/>
          <w14:ligatures w14:val="none"/>
        </w:rPr>
      </w:pPr>
      <w:r>
        <w:rPr>
          <w:sz w:val="24"/>
          <w:szCs w:val="24"/>
          <w:highlight w:val="none"/>
          <w14:ligatures w14:val="none"/>
        </w:rPr>
        <w:t xml:space="preserve">пункт первый статьи 2 после слов «граждане, выполнявшие задачи» дополнить словами «(содействовавшие выполнению задач)»;</w:t>
      </w:r>
      <w:r>
        <w:rPr>
          <w:sz w:val="24"/>
          <w:szCs w:val="24"/>
          <w:highlight w:val="none"/>
          <w14:ligatures w14:val="none"/>
        </w:rPr>
      </w:r>
      <w:r>
        <w:rPr>
          <w:sz w:val="24"/>
          <w:szCs w:val="24"/>
          <w:highlight w:val="white"/>
          <w14:ligatures w14:val="none"/>
        </w:rPr>
      </w:r>
    </w:p>
    <w:p>
      <w:pPr>
        <w:ind w:left="0" w:right="0" w:firstLine="425"/>
        <w:jc w:val="both"/>
        <w:shd w:val="nil" w:color="000000"/>
        <w:rPr>
          <w:sz w:val="24"/>
          <w:szCs w:val="24"/>
          <w:highlight w:val="white"/>
          <w:lang w:val="ru-RU"/>
          <w14:ligatures w14:val="none"/>
        </w:rPr>
      </w:pPr>
      <w:r>
        <w:rPr>
          <w:sz w:val="24"/>
          <w:szCs w:val="24"/>
          <w:highlight w:val="none"/>
          <w:lang w:val="ru-RU"/>
        </w:rPr>
        <w:t xml:space="preserve">2)</w:t>
      </w:r>
      <w:r>
        <w:rPr>
          <w:sz w:val="24"/>
          <w:szCs w:val="24"/>
          <w:highlight w:val="white"/>
          <w:lang w:val="ru-RU"/>
        </w:rPr>
        <w:t xml:space="preserve"> в статью 4:</w:t>
      </w:r>
      <w:r>
        <w:rPr>
          <w:sz w:val="24"/>
          <w:szCs w:val="24"/>
          <w:highlight w:val="white"/>
          <w14:ligatures w14:val="none"/>
        </w:rPr>
      </w:r>
      <w:r>
        <w:rPr>
          <w:sz w:val="24"/>
          <w:szCs w:val="24"/>
          <w:highlight w:val="white"/>
          <w:lang w:val="ru-RU"/>
          <w14:ligatures w14:val="none"/>
        </w:rPr>
      </w:r>
    </w:p>
    <w:p>
      <w:pPr>
        <w:ind w:left="0" w:right="0" w:firstLine="425"/>
        <w:jc w:val="both"/>
        <w:shd w:val="nil" w:color="000000"/>
        <w:rPr>
          <w:sz w:val="24"/>
          <w:szCs w:val="24"/>
          <w:highlight w:val="white"/>
          <w14:ligatures w14:val="none"/>
        </w:rPr>
      </w:pPr>
      <w:r>
        <w:rPr>
          <w:sz w:val="24"/>
          <w:szCs w:val="24"/>
          <w:highlight w:val="none"/>
          <w:lang w:val="ru-RU"/>
        </w:rPr>
        <w:t xml:space="preserve">а) </w:t>
      </w:r>
      <w:r>
        <w:rPr>
          <w:sz w:val="24"/>
          <w:szCs w:val="24"/>
          <w:highlight w:val="white"/>
          <w:lang w:val="ru-RU"/>
        </w:rPr>
        <w:t xml:space="preserve">дополнить частью 1.1 </w:t>
      </w:r>
      <w:r>
        <w:rPr>
          <w:sz w:val="24"/>
          <w:szCs w:val="24"/>
          <w:highlight w:val="white"/>
          <w:lang w:val="ru-RU"/>
        </w:rPr>
        <w:t xml:space="preserve">следующего содержания</w:t>
      </w:r>
      <w:r>
        <w:rPr>
          <w:sz w:val="24"/>
          <w:szCs w:val="24"/>
          <w:highlight w:val="white"/>
          <w:lang w:val="ru-RU"/>
        </w:rPr>
        <w:t xml:space="preserve">:</w:t>
      </w:r>
      <w:r>
        <w:rPr>
          <w:sz w:val="24"/>
          <w:szCs w:val="24"/>
          <w:highlight w:val="white"/>
          <w14:ligatures w14:val="none"/>
        </w:rPr>
      </w:r>
      <w:r>
        <w:rPr>
          <w:sz w:val="24"/>
          <w:szCs w:val="24"/>
          <w:highlight w:val="white"/>
          <w14:ligatures w14:val="none"/>
        </w:rPr>
      </w:r>
    </w:p>
    <w:p>
      <w:pPr>
        <w:ind w:left="0" w:right="0" w:firstLine="425"/>
        <w:jc w:val="both"/>
        <w:shd w:val="nil" w:color="auto"/>
        <w:rPr>
          <w:sz w:val="24"/>
          <w:szCs w:val="24"/>
          <w:highlight w:val="white"/>
          <w14:ligatures w14:val="none"/>
        </w:rPr>
      </w:pP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«</w:t>
      </w:r>
      <w:r>
        <w:rPr>
          <w:sz w:val="24"/>
          <w:szCs w:val="24"/>
          <w:highlight w:val="white"/>
        </w:rPr>
        <w:t xml:space="preserve">1.1.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Численность работников, которые должны быть трудоустроены в</w:t>
      </w:r>
      <w:r>
        <w:rPr>
          <w:sz w:val="24"/>
          <w:szCs w:val="24"/>
          <w:highlight w:val="white"/>
        </w:rPr>
        <w:t xml:space="preserve"> целях исполнения квоты,</w:t>
      </w:r>
      <w:r>
        <w:rPr>
          <w:sz w:val="24"/>
          <w:szCs w:val="24"/>
          <w:highlight w:val="white"/>
        </w:rPr>
        <w:t xml:space="preserve"> рассчитывается работодателем </w:t>
      </w:r>
      <w:r>
        <w:rPr>
          <w:sz w:val="24"/>
          <w:szCs w:val="24"/>
          <w:highlight w:val="white"/>
        </w:rPr>
        <w:t xml:space="preserve">ежеквартально</w:t>
      </w:r>
      <w:r>
        <w:rPr>
          <w:sz w:val="24"/>
          <w:szCs w:val="24"/>
          <w:highlight w:val="white"/>
        </w:rPr>
        <w:t xml:space="preserve">, до </w:t>
      </w:r>
      <w:r>
        <w:rPr>
          <w:sz w:val="24"/>
          <w:szCs w:val="24"/>
          <w:highlight w:val="white"/>
        </w:rPr>
        <w:t xml:space="preserve">10-го числа месяца, следующего за отчетным кварталом</w:t>
      </w:r>
      <w:r>
        <w:rPr>
          <w:sz w:val="24"/>
          <w:szCs w:val="24"/>
          <w:highlight w:val="white"/>
        </w:rPr>
        <w:t xml:space="preserve">, исходя из среднесписочной численности работников за </w:t>
      </w:r>
      <w:r>
        <w:rPr>
          <w:sz w:val="24"/>
          <w:szCs w:val="24"/>
          <w:highlight w:val="white"/>
        </w:rPr>
        <w:t xml:space="preserve">предыдущий</w:t>
      </w:r>
      <w:r>
        <w:rPr>
          <w:sz w:val="24"/>
          <w:szCs w:val="24"/>
          <w:highlight w:val="white"/>
        </w:rPr>
        <w:t xml:space="preserve"> квартал </w:t>
      </w:r>
      <w:r>
        <w:rPr>
          <w:sz w:val="24"/>
          <w:szCs w:val="24"/>
          <w:highlight w:val="white"/>
        </w:rPr>
        <w:t xml:space="preserve">без учета работников представительств и филиалов работодателя, расположенных в других субъектах Российской Федерации, а также численности</w:t>
      </w:r>
      <w:r>
        <w:rPr>
          <w:sz w:val="24"/>
          <w:szCs w:val="24"/>
          <w:highlight w:val="white"/>
        </w:rPr>
        <w:t xml:space="preserve"> работник</w:t>
      </w:r>
      <w:r>
        <w:rPr>
          <w:sz w:val="24"/>
          <w:szCs w:val="24"/>
          <w:highlight w:val="white"/>
        </w:rPr>
        <w:t xml:space="preserve">ов, условия </w:t>
      </w:r>
      <w:r>
        <w:rPr>
          <w:sz w:val="24"/>
          <w:szCs w:val="24"/>
          <w:highlight w:val="white"/>
        </w:rPr>
        <w:t xml:space="preserve">труда</w:t>
      </w:r>
      <w:r>
        <w:rPr>
          <w:sz w:val="24"/>
          <w:szCs w:val="24"/>
          <w:highlight w:val="white"/>
        </w:rPr>
        <w:t xml:space="preserve"> на рабочих местах которых отнесены к вредным и (или) опасным условиям труда по </w:t>
      </w:r>
      <w:r>
        <w:rPr>
          <w:sz w:val="24"/>
          <w:szCs w:val="24"/>
          <w:highlight w:val="white"/>
        </w:rPr>
        <w:t xml:space="preserve">результатам специальной оценки условий труда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  <w:t xml:space="preserve">»;</w:t>
      </w:r>
      <w:r>
        <w:rPr>
          <w:sz w:val="24"/>
          <w:szCs w:val="24"/>
          <w:highlight w:val="white"/>
          <w14:ligatures w14:val="none"/>
        </w:rPr>
      </w:r>
      <w:r>
        <w:rPr>
          <w:sz w:val="24"/>
          <w:szCs w:val="24"/>
          <w:highlight w:val="white"/>
          <w14:ligatures w14:val="none"/>
        </w:rPr>
      </w:r>
    </w:p>
    <w:p>
      <w:pPr>
        <w:pStyle w:val="884"/>
        <w:ind w:left="0" w:right="0" w:firstLine="425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б) абзац первый части 3 изложить в следующей редакции</w:t>
      </w:r>
      <w:r>
        <w:rPr>
          <w:sz w:val="24"/>
          <w:szCs w:val="24"/>
          <w:highlight w:val="none"/>
        </w:rPr>
        <w:t xml:space="preserve">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425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«</w:t>
      </w:r>
      <w:r>
        <w:rPr>
          <w:sz w:val="24"/>
          <w:szCs w:val="24"/>
        </w:rPr>
        <w:t xml:space="preserve">3. Квота для приема на работу граждан, указанных в </w:t>
      </w:r>
      <w:hyperlink w:tooltip="#P19" w:anchor="P19" w:history="1">
        <w:r>
          <w:rPr>
            <w:color w:val="0000ff"/>
            <w:sz w:val="24"/>
            <w:szCs w:val="24"/>
          </w:rPr>
          <w:t xml:space="preserve">статье 2</w:t>
        </w:r>
      </w:hyperlink>
      <w:r>
        <w:rPr>
          <w:sz w:val="24"/>
          <w:szCs w:val="24"/>
        </w:rPr>
        <w:t xml:space="preserve"> настоящего Закона, считается выполненной в случаях наличия у работодателя: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заключенного трудового договора с гражданином, относящимся к одной из категорий, указанных в </w:t>
      </w:r>
      <w:hyperlink w:tooltip="#P19" w:anchor="P19" w:history="1">
        <w:r>
          <w:rPr>
            <w:color w:val="0000ff"/>
            <w:sz w:val="24"/>
            <w:szCs w:val="24"/>
          </w:rPr>
          <w:t xml:space="preserve">статье 2</w:t>
        </w:r>
      </w:hyperlink>
      <w:r>
        <w:rPr>
          <w:sz w:val="24"/>
          <w:szCs w:val="24"/>
        </w:rPr>
        <w:t xml:space="preserve"> настоящего Закона, в соответствии с трудовым законодательством Российской Федерации;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425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2) заключенного трудового договора между </w:t>
      </w:r>
      <w:r>
        <w:rPr>
          <w:sz w:val="24"/>
          <w:szCs w:val="24"/>
        </w:rPr>
        <w:t xml:space="preserve">гражданином, </w:t>
      </w:r>
      <w:r>
        <w:rPr>
          <w:sz w:val="24"/>
          <w:szCs w:val="24"/>
        </w:rPr>
        <w:t xml:space="preserve">относящимся к одной из категорий</w:t>
      </w:r>
      <w:r>
        <w:rPr>
          <w:sz w:val="24"/>
          <w:szCs w:val="24"/>
        </w:rPr>
        <w:t xml:space="preserve">, указанных в </w:t>
      </w:r>
      <w:hyperlink w:tooltip="#P19" w:anchor="P19" w:history="1">
        <w:r>
          <w:rPr>
            <w:color w:val="0000ff"/>
            <w:sz w:val="24"/>
            <w:szCs w:val="24"/>
          </w:rPr>
          <w:t xml:space="preserve">статье 2</w:t>
        </w:r>
      </w:hyperlink>
      <w:r>
        <w:rPr>
          <w:sz w:val="24"/>
          <w:szCs w:val="24"/>
        </w:rPr>
        <w:t xml:space="preserve"> настоящего Закона,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white"/>
        </w:rPr>
        <w:t xml:space="preserve">с иной организацией или </w:t>
      </w:r>
      <w:r>
        <w:rPr>
          <w:sz w:val="24"/>
          <w:szCs w:val="24"/>
          <w:highlight w:val="white"/>
        </w:rPr>
        <w:t xml:space="preserve">индивидуальным предпринимателем</w:t>
      </w:r>
      <w:r>
        <w:rPr>
          <w:sz w:val="24"/>
          <w:szCs w:val="24"/>
          <w:highlight w:val="none"/>
        </w:rPr>
        <w:t xml:space="preserve">, </w:t>
      </w:r>
      <w:r>
        <w:rPr>
          <w:sz w:val="24"/>
          <w:szCs w:val="24"/>
          <w:highlight w:val="none"/>
        </w:rPr>
        <w:t xml:space="preserve">заключившими соглашение о трудоустройстве </w:t>
      </w:r>
      <w:r>
        <w:rPr>
          <w:sz w:val="24"/>
          <w:szCs w:val="24"/>
          <w:highlight w:val="white"/>
        </w:rPr>
        <w:t xml:space="preserve">гражданина, </w:t>
      </w:r>
      <w:r>
        <w:rPr>
          <w:sz w:val="24"/>
          <w:szCs w:val="24"/>
        </w:rPr>
        <w:t xml:space="preserve">относящегося к одной из категорий</w:t>
      </w:r>
      <w:r>
        <w:rPr>
          <w:sz w:val="24"/>
          <w:szCs w:val="24"/>
        </w:rPr>
        <w:t xml:space="preserve">, указанных в </w:t>
      </w:r>
      <w:hyperlink w:tooltip="#P19" w:anchor="P19" w:history="1">
        <w:r>
          <w:rPr>
            <w:color w:val="0000ff"/>
            <w:sz w:val="24"/>
            <w:szCs w:val="24"/>
          </w:rPr>
          <w:t xml:space="preserve">статье 2</w:t>
        </w:r>
      </w:hyperlink>
      <w:r>
        <w:rPr>
          <w:sz w:val="24"/>
          <w:szCs w:val="24"/>
        </w:rPr>
        <w:t xml:space="preserve"> настоящего Закона,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none"/>
        </w:rPr>
        <w:t xml:space="preserve">с работодателем, которому установлена квота.</w:t>
      </w:r>
      <w:r>
        <w:rPr>
          <w:sz w:val="24"/>
          <w:szCs w:val="24"/>
          <w:highlight w:val="none"/>
        </w:rPr>
        <w:t xml:space="preserve">».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25"/>
        <w:ind w:firstLine="709"/>
        <w:jc w:val="both"/>
        <w:spacing w:before="0" w:beforeAutospacing="0" w:after="0" w:afterAutospacing="0" w:line="315" w:lineRule="atLeast"/>
        <w:shd w:val="clear" w:color="auto" w:fill="ffffff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925"/>
        <w:ind w:firstLine="709"/>
        <w:jc w:val="both"/>
        <w:spacing w:before="0" w:beforeAutospacing="0" w:after="0" w:afterAutospacing="0" w:line="315" w:lineRule="atLeast"/>
        <w:shd w:val="clear" w:color="auto" w:fill="ffffff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Статья </w:t>
      </w:r>
      <w:r>
        <w:rPr>
          <w:b/>
          <w:sz w:val="24"/>
          <w:szCs w:val="24"/>
        </w:rPr>
        <w:t xml:space="preserve">2 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925"/>
        <w:ind w:firstLine="709"/>
        <w:jc w:val="both"/>
        <w:spacing w:before="0" w:beforeAutospacing="0" w:after="0" w:afterAutospacing="0" w:line="315" w:lineRule="atLeast"/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84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Настоящий Закон вступает в силу с 1 марта 2027 года.</w:t>
      </w:r>
      <w:r>
        <w:rPr>
          <w:bCs/>
          <w:sz w:val="24"/>
          <w:szCs w:val="24"/>
        </w:rPr>
      </w:r>
    </w:p>
    <w:p>
      <w:pPr>
        <w:pStyle w:val="924"/>
        <w:ind w:firstLine="709"/>
        <w:jc w:val="both"/>
        <w:spacing w:before="0" w:beforeAutospacing="0" w:after="0" w:afterAutospacing="0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9"/>
      <w:headerReference w:type="first" r:id="rId10"/>
      <w:footnotePr/>
      <w:endnotePr/>
      <w:type w:val="nextPage"/>
      <w:pgSz w:w="11907" w:h="16840" w:orient="portrait"/>
      <w:pgMar w:top="567" w:right="567" w:bottom="567" w:left="1134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jc w:val="center"/>
      <w:spacing w:before="1920" w:after="720"/>
      <w:rPr>
        <w:b/>
        <w:sz w:val="56"/>
      </w:rPr>
    </w:pPr>
    <w:r>
      <w:rPr>
        <w:b/>
        <w:spacing w:val="20"/>
        <w:sz w:val="56"/>
      </w:rPr>
      <w:t xml:space="preserve">ЗАКОН</w:t>
    </w:r>
    <w:r>
      <w:rPr>
        <w:b/>
        <w:sz w:val="56"/>
      </w:rPr>
      <w:br w:type="textWrapping" w:clear="all"/>
      <w:t xml:space="preserve">Пензенской области</w:t>
    </w:r>
    <w:r>
      <w:rPr>
        <w:b/>
        <w:sz w:val="56"/>
      </w:rPr>
    </w:r>
    <w:r>
      <w:rPr>
        <w:b/>
        <w:sz w:val="56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isLgl w:val="false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isLgl w:val="false"/>
      <w:suff w:val="tab"/>
      <w:lvlText w:val="%3."/>
      <w:lvlJc w:val="left"/>
      <w:pPr>
        <w:ind w:left="0" w:firstLine="737"/>
        <w:tabs>
          <w:tab w:val="num" w:pos="1097" w:leader="none"/>
        </w:tabs>
      </w:pPr>
    </w:lvl>
    <w:lvl w:ilvl="3">
      <w:start w:val="1"/>
      <w:numFmt w:val="decimal"/>
      <w:isLgl w:val="false"/>
      <w:suff w:val="tab"/>
      <w:lvlText w:val="%4)"/>
      <w:lvlJc w:val="left"/>
      <w:pPr>
        <w:ind w:left="340" w:firstLine="624"/>
        <w:tabs>
          <w:tab w:val="num" w:pos="1324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3542" w:hanging="708"/>
        <w:tabs>
          <w:tab w:val="num" w:pos="3542" w:leader="none"/>
        </w:tabs>
      </w:pPr>
    </w:lvl>
    <w:lvl w:ilvl="6">
      <w:start w:val="1"/>
      <w:numFmt w:val="decimal"/>
      <w:pStyle w:val="891"/>
      <w:isLgl w:val="false"/>
      <w:suff w:val="tab"/>
      <w:lvlText w:val=""/>
      <w:lvlJc w:val="left"/>
      <w:pPr>
        <w:ind w:left="4250" w:hanging="708"/>
        <w:tabs>
          <w:tab w:val="num" w:pos="4250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ind w:left="4958" w:hanging="708"/>
        <w:tabs>
          <w:tab w:val="num" w:pos="4958" w:leader="none"/>
        </w:tabs>
      </w:pPr>
    </w:lvl>
    <w:lvl w:ilvl="8">
      <w:start w:val="1"/>
      <w:numFmt w:val="decimal"/>
      <w:pStyle w:val="893"/>
      <w:isLgl w:val="false"/>
      <w:suff w:val="nothing"/>
      <w:lvlText w:val=""/>
      <w:lvlJc w:val="left"/>
      <w:pPr>
        <w:ind w:left="0" w:firstLine="4958"/>
      </w:pPr>
    </w:lvl>
  </w:abstractNum>
  <w:abstractNum w:abstractNumId="1">
    <w:multiLevelType w:val="hybridMultilevel"/>
    <w:lvl w:ilvl="0">
      <w:start w:val="1"/>
      <w:numFmt w:val="bullet"/>
      <w:pStyle w:val="905"/>
      <w:isLgl w:val="false"/>
      <w:suff w:val="tab"/>
      <w:lvlText w:val=""/>
      <w:lvlJc w:val="left"/>
      <w:pPr>
        <w:ind w:left="851" w:hanging="284"/>
        <w:tabs>
          <w:tab w:val="num" w:pos="851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pStyle w:val="885"/>
      <w:isLgl w:val="false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886"/>
      <w:isLgl w:val="false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887"/>
      <w:isLgl w:val="false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pStyle w:val="888"/>
      <w:isLgl w:val="false"/>
      <w:suff w:val="nothing"/>
      <w:lvlText w:val="Статья %4"/>
      <w:lvlJc w:val="left"/>
      <w:pPr>
        <w:ind w:left="3588" w:hanging="1134"/>
      </w:pPr>
      <w:rPr>
        <w:b/>
        <w:i w:val="0"/>
        <w:sz w:val="24"/>
        <w:szCs w:val="24"/>
      </w:rPr>
    </w:lvl>
    <w:lvl w:ilvl="4">
      <w:start w:val="1"/>
      <w:numFmt w:val="decimal"/>
      <w:pStyle w:val="889"/>
      <w:isLgl w:val="false"/>
      <w:suff w:val="nothing"/>
      <w:lvlText w:val="%5"/>
      <w:lvlJc w:val="left"/>
      <w:pPr>
        <w:ind w:left="284" w:firstLine="0"/>
      </w:pPr>
    </w:lvl>
    <w:lvl w:ilvl="5">
      <w:start w:val="1"/>
      <w:numFmt w:val="decimal"/>
      <w:pStyle w:val="902"/>
      <w:isLgl w:val="false"/>
      <w:suff w:val="tab"/>
      <w:lvlText w:val="%6."/>
      <w:lvlJc w:val="left"/>
      <w:pPr>
        <w:ind w:left="0" w:firstLine="567"/>
        <w:tabs>
          <w:tab w:val="num" w:pos="927" w:leader="none"/>
        </w:tabs>
      </w:pPr>
    </w:lvl>
    <w:lvl w:ilvl="6">
      <w:start w:val="1"/>
      <w:numFmt w:val="decimal"/>
      <w:pStyle w:val="903"/>
      <w:isLgl w:val="false"/>
      <w:suff w:val="space"/>
      <w:lvlText w:val="%7) "/>
      <w:lvlJc w:val="left"/>
      <w:pPr>
        <w:ind w:left="344" w:firstLine="283"/>
      </w:pPr>
    </w:lvl>
    <w:lvl w:ilvl="7">
      <w:start w:val="1"/>
      <w:numFmt w:val="thaiNumbers"/>
      <w:pStyle w:val="906"/>
      <w:isLgl w:val="false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decimal"/>
      <w:isLgl w:val="false"/>
      <w:suff w:val="nothing"/>
      <w:lvlText w:val=""/>
      <w:lvlJc w:val="left"/>
      <w:pPr>
        <w:ind w:left="284" w:firstLine="0"/>
      </w:pPr>
    </w:lvl>
  </w:abstractNum>
  <w:abstractNum w:abstractNumId="3">
    <w:multiLevelType w:val="hybridMultilevel"/>
    <w:lvl w:ilvl="0">
      <w:start w:val="1"/>
      <w:numFmt w:val="decimal"/>
      <w:pStyle w:val="911"/>
      <w:isLgl w:val="false"/>
      <w:suff w:val="space"/>
      <w:lvlText w:val=""/>
      <w:lvlJc w:val="left"/>
      <w:pPr>
        <w:ind w:left="1725" w:firstLine="0"/>
      </w:pPr>
      <w:rPr>
        <w:rFonts w:ascii="Times New Roman" w:hAnsi="Times New Roman"/>
        <w:b w:val="0"/>
        <w:i w:val="0"/>
        <w:caps/>
        <w:strike w:val="0"/>
        <w:sz w:val="24"/>
        <w:szCs w:val="24"/>
        <w:vertAlign w:val="baseline"/>
      </w:rPr>
    </w:lvl>
    <w:lvl w:ilvl="1">
      <w:start w:val="1701"/>
      <w:numFmt w:val="decimal"/>
      <w:isLgl w:val="false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/>
        <w:sz w:val="24"/>
      </w:rPr>
    </w:lvl>
    <w:lvl w:ilvl="2">
      <w:start w:val="400"/>
      <w:numFmt w:val="decimal"/>
      <w:pStyle w:val="912"/>
      <w:isLgl w:val="false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/>
      </w:rPr>
    </w:lvl>
    <w:lvl w:ilvl="3">
      <w:start w:val="1480"/>
      <w:numFmt w:val="decimal"/>
      <w:isLgl w:val="false"/>
      <w:suff w:val="tab"/>
      <w:lvlText w:val=""/>
      <w:lvlJc w:val="left"/>
      <w:pPr>
        <w:ind w:left="3710" w:hanging="1985"/>
        <w:tabs>
          <w:tab w:val="num" w:pos="1725" w:leader="none"/>
        </w:tabs>
      </w:pPr>
    </w:lvl>
    <w:lvl w:ilvl="4">
      <w:start w:val="16"/>
      <w:numFmt w:val="decimal"/>
      <w:isLgl w:val="false"/>
      <w:suff w:val="nothing"/>
      <w:lvlText w:val=""/>
      <w:lvlJc w:val="left"/>
      <w:pPr>
        <w:ind w:left="1385" w:firstLine="0"/>
      </w:pPr>
    </w:lvl>
    <w:lvl w:ilvl="5">
      <w:start w:val="1"/>
      <w:numFmt w:val="decimal"/>
      <w:isLgl w:val="false"/>
      <w:suff w:val="tab"/>
      <w:lvlText w:val="%6"/>
      <w:lvlJc w:val="left"/>
      <w:pPr>
        <w:ind w:left="1101" w:firstLine="567"/>
        <w:tabs>
          <w:tab w:val="num" w:pos="2028" w:leader="none"/>
        </w:tabs>
      </w:pPr>
    </w:lvl>
    <w:lvl w:ilvl="6">
      <w:start w:val="1"/>
      <w:numFmt w:val="decimal"/>
      <w:isLgl w:val="false"/>
      <w:suff w:val="space"/>
      <w:lvlText w:val=""/>
      <w:lvlJc w:val="left"/>
      <w:pPr>
        <w:ind w:left="1952" w:firstLine="284"/>
      </w:pPr>
    </w:lvl>
    <w:lvl w:ilvl="7">
      <w:start w:val="1"/>
      <w:numFmt w:val="decimal"/>
      <w:isLgl w:val="false"/>
      <w:suff w:val="tab"/>
      <w:lvlText w:val=""/>
      <w:lvlJc w:val="left"/>
      <w:pPr>
        <w:ind w:left="6343" w:hanging="708"/>
        <w:tabs>
          <w:tab w:val="num" w:pos="6343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385" w:firstLine="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07" w:hanging="547"/>
        <w:tabs>
          <w:tab w:val="num" w:pos="907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1418" w:hanging="567"/>
        <w:tabs>
          <w:tab w:val="num" w:pos="1134" w:leader="none"/>
        </w:tabs>
      </w:pPr>
    </w:lvl>
    <w:lvl w:ilvl="3">
      <w:start w:val="1"/>
      <w:numFmt w:val="decimal"/>
      <w:isLgl w:val="false"/>
      <w:suff w:val="tab"/>
      <w:lvlText w:val="%1.%4.%2.%3"/>
      <w:lvlJc w:val="left"/>
      <w:pPr>
        <w:ind w:left="1728" w:hanging="648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61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84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space"/>
      <w:lvlText w:val=""/>
      <w:lvlJc w:val="left"/>
      <w:pPr>
        <w:ind w:left="0" w:firstLine="0"/>
      </w:pPr>
      <w:rPr>
        <w:rFonts w:ascii="Times New Roman" w:hAnsi="Times New Roman"/>
        <w:b w:val="0"/>
        <w:i w:val="0"/>
        <w:caps/>
        <w:strike w:val="0"/>
        <w:sz w:val="24"/>
        <w:szCs w:val="24"/>
        <w:vertAlign w:val="baseline"/>
      </w:rPr>
    </w:lvl>
    <w:lvl w:ilvl="1">
      <w:start w:val="1397"/>
      <w:numFmt w:val="decimal"/>
      <w:isLgl w:val="false"/>
      <w:suff w:val="tab"/>
      <w:lvlText w:val="№ %2 - ЗПО"/>
      <w:lvlJc w:val="left"/>
      <w:pPr>
        <w:ind w:left="1418" w:hanging="1418"/>
        <w:tabs>
          <w:tab w:val="num" w:pos="0" w:leader="none"/>
        </w:tabs>
      </w:pPr>
      <w:rPr>
        <w:sz w:val="24"/>
      </w:rPr>
    </w:lvl>
    <w:lvl w:ilvl="2">
      <w:start w:val="1616"/>
      <w:numFmt w:val="decimal"/>
      <w:isLgl w:val="false"/>
      <w:suff w:val="tab"/>
      <w:lvlText w:val="№ %3 - 57/3  ЗС"/>
      <w:lvlJc w:val="left"/>
      <w:pPr>
        <w:ind w:left="1701" w:hanging="1701"/>
        <w:tabs>
          <w:tab w:val="num" w:pos="0" w:leader="none"/>
        </w:tabs>
      </w:pPr>
    </w:lvl>
    <w:lvl w:ilvl="3">
      <w:start w:val="1480"/>
      <w:numFmt w:val="decimal"/>
      <w:pStyle w:val="913"/>
      <w:isLgl w:val="false"/>
      <w:suff w:val="tab"/>
      <w:lvlText w:val="№ %4 - 54/3  ЗС"/>
      <w:lvlJc w:val="left"/>
      <w:pPr>
        <w:ind w:left="1985" w:hanging="1985"/>
        <w:tabs>
          <w:tab w:val="num" w:pos="0" w:leader="none"/>
        </w:tabs>
      </w:pPr>
    </w:lvl>
    <w:lvl w:ilvl="4">
      <w:start w:val="16"/>
      <w:numFmt w:val="decimal"/>
      <w:isLgl w:val="false"/>
      <w:suff w:val="nothing"/>
      <w:lvlText w:val=""/>
      <w:lvlJc w:val="left"/>
      <w:pPr>
        <w:ind w:left="-340" w:firstLine="0"/>
      </w:pPr>
    </w:lvl>
    <w:lvl w:ilvl="5">
      <w:start w:val="1"/>
      <w:numFmt w:val="decimal"/>
      <w:isLgl w:val="false"/>
      <w:suff w:val="tab"/>
      <w:lvlText w:val="%6"/>
      <w:lvlJc w:val="left"/>
      <w:pPr>
        <w:ind w:left="-624" w:firstLine="567"/>
        <w:tabs>
          <w:tab w:val="num" w:pos="303" w:leader="none"/>
        </w:tabs>
      </w:pPr>
    </w:lvl>
    <w:lvl w:ilvl="6">
      <w:start w:val="1"/>
      <w:numFmt w:val="decimal"/>
      <w:isLgl w:val="false"/>
      <w:suff w:val="space"/>
      <w:lvlText w:val=""/>
      <w:lvlJc w:val="left"/>
      <w:pPr>
        <w:ind w:left="227" w:firstLine="284"/>
      </w:pPr>
    </w:lvl>
    <w:lvl w:ilvl="7">
      <w:start w:val="1"/>
      <w:numFmt w:val="decimal"/>
      <w:isLgl w:val="false"/>
      <w:suff w:val="tab"/>
      <w:lvlText w:val=""/>
      <w:lvlJc w:val="left"/>
      <w:pPr>
        <w:ind w:left="4618" w:hanging="708"/>
        <w:tabs>
          <w:tab w:val="num" w:pos="4618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-340" w:firstLine="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8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94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8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94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8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94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8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94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13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94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2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6">
    <w:name w:val="Heading 1"/>
    <w:basedOn w:val="884"/>
    <w:next w:val="884"/>
    <w:link w:val="70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7">
    <w:name w:val="Heading 1 Char"/>
    <w:link w:val="706"/>
    <w:uiPriority w:val="9"/>
    <w:rPr>
      <w:rFonts w:ascii="Arial" w:hAnsi="Arial" w:eastAsia="Arial" w:cs="Arial"/>
      <w:sz w:val="40"/>
      <w:szCs w:val="40"/>
    </w:rPr>
  </w:style>
  <w:style w:type="paragraph" w:styleId="708">
    <w:name w:val="Heading 2"/>
    <w:basedOn w:val="884"/>
    <w:next w:val="884"/>
    <w:link w:val="70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9">
    <w:name w:val="Heading 2 Char"/>
    <w:link w:val="708"/>
    <w:uiPriority w:val="9"/>
    <w:rPr>
      <w:rFonts w:ascii="Arial" w:hAnsi="Arial" w:eastAsia="Arial" w:cs="Arial"/>
      <w:sz w:val="34"/>
    </w:rPr>
  </w:style>
  <w:style w:type="paragraph" w:styleId="710">
    <w:name w:val="Heading 3"/>
    <w:basedOn w:val="884"/>
    <w:next w:val="884"/>
    <w:link w:val="71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1">
    <w:name w:val="Heading 3 Char"/>
    <w:link w:val="710"/>
    <w:uiPriority w:val="9"/>
    <w:rPr>
      <w:rFonts w:ascii="Arial" w:hAnsi="Arial" w:eastAsia="Arial" w:cs="Arial"/>
      <w:sz w:val="30"/>
      <w:szCs w:val="30"/>
    </w:rPr>
  </w:style>
  <w:style w:type="paragraph" w:styleId="712">
    <w:name w:val="Heading 4"/>
    <w:basedOn w:val="884"/>
    <w:next w:val="884"/>
    <w:link w:val="71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3">
    <w:name w:val="Heading 4 Char"/>
    <w:link w:val="712"/>
    <w:uiPriority w:val="9"/>
    <w:rPr>
      <w:rFonts w:ascii="Arial" w:hAnsi="Arial" w:eastAsia="Arial" w:cs="Arial"/>
      <w:b/>
      <w:bCs/>
      <w:sz w:val="26"/>
      <w:szCs w:val="26"/>
    </w:rPr>
  </w:style>
  <w:style w:type="paragraph" w:styleId="714">
    <w:name w:val="Heading 5"/>
    <w:basedOn w:val="884"/>
    <w:next w:val="884"/>
    <w:link w:val="71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5">
    <w:name w:val="Heading 5 Char"/>
    <w:link w:val="714"/>
    <w:uiPriority w:val="9"/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884"/>
    <w:next w:val="884"/>
    <w:link w:val="71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7">
    <w:name w:val="Heading 6 Char"/>
    <w:link w:val="716"/>
    <w:uiPriority w:val="9"/>
    <w:rPr>
      <w:rFonts w:ascii="Arial" w:hAnsi="Arial" w:eastAsia="Arial" w:cs="Arial"/>
      <w:b/>
      <w:bCs/>
      <w:sz w:val="22"/>
      <w:szCs w:val="22"/>
    </w:rPr>
  </w:style>
  <w:style w:type="paragraph" w:styleId="718">
    <w:name w:val="Heading 7"/>
    <w:basedOn w:val="884"/>
    <w:next w:val="884"/>
    <w:link w:val="71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9">
    <w:name w:val="Heading 7 Char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0">
    <w:name w:val="Heading 8"/>
    <w:basedOn w:val="884"/>
    <w:next w:val="884"/>
    <w:link w:val="72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1">
    <w:name w:val="Heading 8 Char"/>
    <w:link w:val="720"/>
    <w:uiPriority w:val="9"/>
    <w:rPr>
      <w:rFonts w:ascii="Arial" w:hAnsi="Arial" w:eastAsia="Arial" w:cs="Arial"/>
      <w:i/>
      <w:iCs/>
      <w:sz w:val="22"/>
      <w:szCs w:val="22"/>
    </w:rPr>
  </w:style>
  <w:style w:type="paragraph" w:styleId="722">
    <w:name w:val="Heading 9"/>
    <w:basedOn w:val="884"/>
    <w:next w:val="884"/>
    <w:link w:val="72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3">
    <w:name w:val="Heading 9 Char"/>
    <w:link w:val="722"/>
    <w:uiPriority w:val="9"/>
    <w:rPr>
      <w:rFonts w:ascii="Arial" w:hAnsi="Arial" w:eastAsia="Arial" w:cs="Arial"/>
      <w:i/>
      <w:iCs/>
      <w:sz w:val="21"/>
      <w:szCs w:val="21"/>
    </w:rPr>
  </w:style>
  <w:style w:type="paragraph" w:styleId="724">
    <w:name w:val="List Paragraph"/>
    <w:basedOn w:val="884"/>
    <w:uiPriority w:val="34"/>
    <w:qFormat/>
    <w:pPr>
      <w:contextualSpacing/>
      <w:ind w:left="720"/>
    </w:pPr>
  </w:style>
  <w:style w:type="paragraph" w:styleId="725">
    <w:name w:val="No Spacing"/>
    <w:uiPriority w:val="1"/>
    <w:qFormat/>
    <w:pPr>
      <w:spacing w:before="0" w:after="0" w:line="240" w:lineRule="auto"/>
    </w:pPr>
  </w:style>
  <w:style w:type="paragraph" w:styleId="726">
    <w:name w:val="Title"/>
    <w:basedOn w:val="884"/>
    <w:next w:val="884"/>
    <w:link w:val="72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7">
    <w:name w:val="Title Char"/>
    <w:link w:val="726"/>
    <w:uiPriority w:val="10"/>
    <w:rPr>
      <w:sz w:val="48"/>
      <w:szCs w:val="48"/>
    </w:rPr>
  </w:style>
  <w:style w:type="paragraph" w:styleId="728">
    <w:name w:val="Subtitle"/>
    <w:basedOn w:val="884"/>
    <w:next w:val="884"/>
    <w:link w:val="729"/>
    <w:uiPriority w:val="11"/>
    <w:qFormat/>
    <w:pPr>
      <w:spacing w:before="200" w:after="200"/>
    </w:pPr>
    <w:rPr>
      <w:sz w:val="24"/>
      <w:szCs w:val="24"/>
    </w:rPr>
  </w:style>
  <w:style w:type="character" w:styleId="729">
    <w:name w:val="Subtitle Char"/>
    <w:link w:val="728"/>
    <w:uiPriority w:val="11"/>
    <w:rPr>
      <w:sz w:val="24"/>
      <w:szCs w:val="24"/>
    </w:rPr>
  </w:style>
  <w:style w:type="paragraph" w:styleId="730">
    <w:name w:val="Quote"/>
    <w:basedOn w:val="884"/>
    <w:next w:val="884"/>
    <w:link w:val="731"/>
    <w:uiPriority w:val="29"/>
    <w:qFormat/>
    <w:pPr>
      <w:ind w:left="720" w:right="720"/>
    </w:pPr>
    <w:rPr>
      <w:i/>
    </w:rPr>
  </w:style>
  <w:style w:type="character" w:styleId="731">
    <w:name w:val="Quote Char"/>
    <w:link w:val="730"/>
    <w:uiPriority w:val="29"/>
    <w:rPr>
      <w:i/>
    </w:rPr>
  </w:style>
  <w:style w:type="paragraph" w:styleId="732">
    <w:name w:val="Intense Quote"/>
    <w:basedOn w:val="884"/>
    <w:next w:val="884"/>
    <w:link w:val="73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>
    <w:name w:val="Intense Quote Char"/>
    <w:link w:val="732"/>
    <w:uiPriority w:val="30"/>
    <w:rPr>
      <w:i/>
    </w:rPr>
  </w:style>
  <w:style w:type="paragraph" w:styleId="734">
    <w:name w:val="Header"/>
    <w:basedOn w:val="884"/>
    <w:link w:val="73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5">
    <w:name w:val="Header Char"/>
    <w:link w:val="734"/>
    <w:uiPriority w:val="99"/>
  </w:style>
  <w:style w:type="paragraph" w:styleId="736">
    <w:name w:val="Footer"/>
    <w:basedOn w:val="884"/>
    <w:link w:val="73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7">
    <w:name w:val="Footer Char"/>
    <w:link w:val="736"/>
    <w:uiPriority w:val="99"/>
  </w:style>
  <w:style w:type="paragraph" w:styleId="738">
    <w:name w:val="Caption"/>
    <w:basedOn w:val="884"/>
    <w:next w:val="88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9">
    <w:name w:val="Caption Char"/>
    <w:basedOn w:val="738"/>
    <w:link w:val="736"/>
    <w:uiPriority w:val="99"/>
  </w:style>
  <w:style w:type="table" w:styleId="74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6">
    <w:name w:val="Hyperlink"/>
    <w:uiPriority w:val="99"/>
    <w:unhideWhenUsed/>
    <w:rPr>
      <w:color w:val="0000ff" w:themeColor="hyperlink"/>
      <w:u w:val="single"/>
    </w:rPr>
  </w:style>
  <w:style w:type="paragraph" w:styleId="867">
    <w:name w:val="footnote text"/>
    <w:basedOn w:val="884"/>
    <w:link w:val="868"/>
    <w:uiPriority w:val="99"/>
    <w:semiHidden/>
    <w:unhideWhenUsed/>
    <w:pPr>
      <w:spacing w:after="40" w:line="240" w:lineRule="auto"/>
    </w:pPr>
    <w:rPr>
      <w:sz w:val="18"/>
    </w:rPr>
  </w:style>
  <w:style w:type="character" w:styleId="868">
    <w:name w:val="Footnote Text Char"/>
    <w:link w:val="867"/>
    <w:uiPriority w:val="99"/>
    <w:rPr>
      <w:sz w:val="18"/>
    </w:rPr>
  </w:style>
  <w:style w:type="character" w:styleId="869">
    <w:name w:val="footnote reference"/>
    <w:uiPriority w:val="99"/>
    <w:unhideWhenUsed/>
    <w:rPr>
      <w:vertAlign w:val="superscript"/>
    </w:rPr>
  </w:style>
  <w:style w:type="paragraph" w:styleId="870">
    <w:name w:val="endnote text"/>
    <w:basedOn w:val="884"/>
    <w:link w:val="871"/>
    <w:uiPriority w:val="99"/>
    <w:semiHidden/>
    <w:unhideWhenUsed/>
    <w:pPr>
      <w:spacing w:after="0" w:line="240" w:lineRule="auto"/>
    </w:pPr>
    <w:rPr>
      <w:sz w:val="20"/>
    </w:rPr>
  </w:style>
  <w:style w:type="character" w:styleId="871">
    <w:name w:val="Endnote Text Char"/>
    <w:link w:val="870"/>
    <w:uiPriority w:val="99"/>
    <w:rPr>
      <w:sz w:val="20"/>
    </w:rPr>
  </w:style>
  <w:style w:type="character" w:styleId="872">
    <w:name w:val="endnote reference"/>
    <w:uiPriority w:val="99"/>
    <w:semiHidden/>
    <w:unhideWhenUsed/>
    <w:rPr>
      <w:vertAlign w:val="superscript"/>
    </w:rPr>
  </w:style>
  <w:style w:type="paragraph" w:styleId="873">
    <w:name w:val="toc 1"/>
    <w:basedOn w:val="884"/>
    <w:next w:val="884"/>
    <w:uiPriority w:val="39"/>
    <w:unhideWhenUsed/>
    <w:pPr>
      <w:ind w:left="0" w:right="0" w:firstLine="0"/>
      <w:spacing w:after="57"/>
    </w:pPr>
  </w:style>
  <w:style w:type="paragraph" w:styleId="874">
    <w:name w:val="toc 2"/>
    <w:basedOn w:val="884"/>
    <w:next w:val="884"/>
    <w:uiPriority w:val="39"/>
    <w:unhideWhenUsed/>
    <w:pPr>
      <w:ind w:left="283" w:right="0" w:firstLine="0"/>
      <w:spacing w:after="57"/>
    </w:pPr>
  </w:style>
  <w:style w:type="paragraph" w:styleId="875">
    <w:name w:val="toc 3"/>
    <w:basedOn w:val="884"/>
    <w:next w:val="884"/>
    <w:uiPriority w:val="39"/>
    <w:unhideWhenUsed/>
    <w:pPr>
      <w:ind w:left="567" w:right="0" w:firstLine="0"/>
      <w:spacing w:after="57"/>
    </w:pPr>
  </w:style>
  <w:style w:type="paragraph" w:styleId="876">
    <w:name w:val="toc 4"/>
    <w:basedOn w:val="884"/>
    <w:next w:val="884"/>
    <w:uiPriority w:val="39"/>
    <w:unhideWhenUsed/>
    <w:pPr>
      <w:ind w:left="850" w:right="0" w:firstLine="0"/>
      <w:spacing w:after="57"/>
    </w:pPr>
  </w:style>
  <w:style w:type="paragraph" w:styleId="877">
    <w:name w:val="toc 5"/>
    <w:basedOn w:val="884"/>
    <w:next w:val="884"/>
    <w:uiPriority w:val="39"/>
    <w:unhideWhenUsed/>
    <w:pPr>
      <w:ind w:left="1134" w:right="0" w:firstLine="0"/>
      <w:spacing w:after="57"/>
    </w:pPr>
  </w:style>
  <w:style w:type="paragraph" w:styleId="878">
    <w:name w:val="toc 6"/>
    <w:basedOn w:val="884"/>
    <w:next w:val="884"/>
    <w:uiPriority w:val="39"/>
    <w:unhideWhenUsed/>
    <w:pPr>
      <w:ind w:left="1417" w:right="0" w:firstLine="0"/>
      <w:spacing w:after="57"/>
    </w:pPr>
  </w:style>
  <w:style w:type="paragraph" w:styleId="879">
    <w:name w:val="toc 7"/>
    <w:basedOn w:val="884"/>
    <w:next w:val="884"/>
    <w:uiPriority w:val="39"/>
    <w:unhideWhenUsed/>
    <w:pPr>
      <w:ind w:left="1701" w:right="0" w:firstLine="0"/>
      <w:spacing w:after="57"/>
    </w:pPr>
  </w:style>
  <w:style w:type="paragraph" w:styleId="880">
    <w:name w:val="toc 8"/>
    <w:basedOn w:val="884"/>
    <w:next w:val="884"/>
    <w:uiPriority w:val="39"/>
    <w:unhideWhenUsed/>
    <w:pPr>
      <w:ind w:left="1984" w:right="0" w:firstLine="0"/>
      <w:spacing w:after="57"/>
    </w:pPr>
  </w:style>
  <w:style w:type="paragraph" w:styleId="881">
    <w:name w:val="toc 9"/>
    <w:basedOn w:val="884"/>
    <w:next w:val="884"/>
    <w:uiPriority w:val="39"/>
    <w:unhideWhenUsed/>
    <w:pPr>
      <w:ind w:left="2268" w:right="0" w:firstLine="0"/>
      <w:spacing w:after="57"/>
    </w:pPr>
  </w:style>
  <w:style w:type="paragraph" w:styleId="882">
    <w:name w:val="TOC Heading"/>
    <w:uiPriority w:val="39"/>
    <w:unhideWhenUsed/>
  </w:style>
  <w:style w:type="paragraph" w:styleId="883">
    <w:name w:val="table of figures"/>
    <w:basedOn w:val="884"/>
    <w:next w:val="884"/>
    <w:uiPriority w:val="99"/>
    <w:unhideWhenUsed/>
    <w:pPr>
      <w:spacing w:after="0" w:afterAutospacing="0"/>
    </w:pPr>
  </w:style>
  <w:style w:type="paragraph" w:styleId="884" w:default="1">
    <w:name w:val="Normal"/>
    <w:next w:val="884"/>
    <w:link w:val="884"/>
    <w:qFormat/>
    <w:rPr>
      <w:sz w:val="24"/>
      <w:lang w:val="ru-RU" w:eastAsia="ru-RU" w:bidi="ar-SA"/>
    </w:rPr>
  </w:style>
  <w:style w:type="paragraph" w:styleId="885">
    <w:name w:val="Заголовок 1"/>
    <w:basedOn w:val="884"/>
    <w:next w:val="884"/>
    <w:link w:val="917"/>
    <w:qFormat/>
    <w:pPr>
      <w:numPr>
        <w:ilvl w:val="0"/>
        <w:numId w:val="7"/>
      </w:numPr>
      <w:jc w:val="center"/>
      <w:keepLines/>
      <w:keepNext/>
      <w:spacing w:after="360"/>
      <w:outlineLvl w:val="0"/>
    </w:pPr>
    <w:rPr>
      <w:rFonts w:ascii="Arial" w:hAnsi="Arial"/>
      <w:b/>
      <w:sz w:val="28"/>
      <w:lang w:val="en-US" w:eastAsia="en-US"/>
    </w:rPr>
  </w:style>
  <w:style w:type="paragraph" w:styleId="886">
    <w:name w:val="Заголовок 2"/>
    <w:basedOn w:val="884"/>
    <w:next w:val="897"/>
    <w:link w:val="884"/>
    <w:qFormat/>
    <w:pPr>
      <w:numPr>
        <w:ilvl w:val="1"/>
        <w:numId w:val="7"/>
      </w:numPr>
      <w:jc w:val="center"/>
      <w:keepLines/>
      <w:keepNext/>
      <w:spacing w:after="360"/>
      <w:outlineLvl w:val="1"/>
    </w:pPr>
    <w:rPr>
      <w:b/>
      <w:sz w:val="28"/>
    </w:rPr>
  </w:style>
  <w:style w:type="paragraph" w:styleId="887">
    <w:name w:val="Заголовок 3"/>
    <w:basedOn w:val="884"/>
    <w:next w:val="888"/>
    <w:link w:val="884"/>
    <w:qFormat/>
    <w:pPr>
      <w:numPr>
        <w:ilvl w:val="2"/>
        <w:numId w:val="7"/>
      </w:numPr>
      <w:keepLines/>
      <w:keepNext/>
      <w:spacing w:before="360"/>
      <w:outlineLvl w:val="2"/>
    </w:pPr>
    <w:rPr>
      <w:b/>
      <w:sz w:val="28"/>
    </w:rPr>
  </w:style>
  <w:style w:type="paragraph" w:styleId="888">
    <w:name w:val="Заголовок 4"/>
    <w:basedOn w:val="884"/>
    <w:next w:val="897"/>
    <w:link w:val="918"/>
    <w:qFormat/>
    <w:pPr>
      <w:numPr>
        <w:ilvl w:val="3"/>
        <w:numId w:val="7"/>
      </w:numPr>
      <w:keepLines/>
      <w:keepNext/>
      <w:spacing w:before="240"/>
      <w:outlineLvl w:val="3"/>
    </w:pPr>
    <w:rPr>
      <w:b/>
      <w:lang w:val="en-US" w:eastAsia="en-US"/>
    </w:rPr>
  </w:style>
  <w:style w:type="paragraph" w:styleId="889">
    <w:name w:val="Заголовок 5"/>
    <w:basedOn w:val="884"/>
    <w:next w:val="884"/>
    <w:link w:val="884"/>
    <w:qFormat/>
    <w:pPr>
      <w:numPr>
        <w:ilvl w:val="4"/>
        <w:numId w:val="7"/>
      </w:numPr>
      <w:ind w:right="284"/>
      <w:jc w:val="center"/>
      <w:keepNext/>
      <w:spacing w:before="240" w:after="60"/>
      <w:outlineLvl w:val="4"/>
    </w:pPr>
    <w:rPr>
      <w:b/>
      <w:sz w:val="28"/>
    </w:rPr>
  </w:style>
  <w:style w:type="paragraph" w:styleId="890">
    <w:name w:val="Заголовок 6"/>
    <w:basedOn w:val="884"/>
    <w:next w:val="884"/>
    <w:link w:val="884"/>
    <w:qFormat/>
    <w:pPr>
      <w:jc w:val="center"/>
      <w:keepNext/>
      <w:spacing w:before="240" w:after="60"/>
      <w:outlineLvl w:val="5"/>
    </w:pPr>
    <w:rPr>
      <w:sz w:val="28"/>
    </w:rPr>
  </w:style>
  <w:style w:type="paragraph" w:styleId="891">
    <w:name w:val="Заголовок 7"/>
    <w:basedOn w:val="884"/>
    <w:next w:val="884"/>
    <w:link w:val="884"/>
    <w:qFormat/>
    <w:pPr>
      <w:numPr>
        <w:ilvl w:val="6"/>
        <w:numId w:val="2"/>
      </w:numPr>
      <w:jc w:val="center"/>
      <w:keepNext/>
      <w:spacing w:before="240" w:after="60"/>
      <w:outlineLvl w:val="6"/>
    </w:pPr>
    <w:rPr>
      <w:rFonts w:ascii="Arial" w:hAnsi="Arial"/>
    </w:rPr>
  </w:style>
  <w:style w:type="paragraph" w:styleId="892">
    <w:name w:val="Заголовок 8"/>
    <w:basedOn w:val="884"/>
    <w:next w:val="884"/>
    <w:link w:val="884"/>
    <w:qFormat/>
    <w:pPr>
      <w:ind w:left="4536"/>
      <w:spacing w:after="240" w:line="240" w:lineRule="exact"/>
      <w:outlineLvl w:val="7"/>
    </w:pPr>
  </w:style>
  <w:style w:type="paragraph" w:styleId="893">
    <w:name w:val="Заголовок 9"/>
    <w:basedOn w:val="884"/>
    <w:next w:val="889"/>
    <w:link w:val="884"/>
    <w:qFormat/>
    <w:pPr>
      <w:numPr>
        <w:ilvl w:val="8"/>
        <w:numId w:val="2"/>
      </w:numPr>
      <w:jc w:val="right"/>
      <w:keepLines/>
      <w:keepNext/>
      <w:spacing w:after="120" w:line="240" w:lineRule="exact"/>
      <w:outlineLvl w:val="8"/>
    </w:pPr>
  </w:style>
  <w:style w:type="character" w:styleId="894">
    <w:name w:val="Основной шрифт абзаца"/>
    <w:next w:val="894"/>
    <w:link w:val="884"/>
    <w:uiPriority w:val="1"/>
    <w:semiHidden/>
    <w:unhideWhenUsed/>
  </w:style>
  <w:style w:type="table" w:styleId="895">
    <w:name w:val="Обычная таблица"/>
    <w:next w:val="895"/>
    <w:link w:val="884"/>
    <w:uiPriority w:val="99"/>
    <w:semiHidden/>
    <w:unhideWhenUsed/>
    <w:qFormat/>
    <w:tblPr/>
  </w:style>
  <w:style w:type="numbering" w:styleId="896">
    <w:name w:val="Нет списка"/>
    <w:next w:val="896"/>
    <w:link w:val="884"/>
    <w:uiPriority w:val="99"/>
    <w:semiHidden/>
    <w:unhideWhenUsed/>
  </w:style>
  <w:style w:type="paragraph" w:styleId="897">
    <w:name w:val="Основной текст"/>
    <w:basedOn w:val="884"/>
    <w:next w:val="897"/>
    <w:link w:val="919"/>
    <w:pPr>
      <w:ind w:firstLine="567"/>
      <w:jc w:val="both"/>
      <w:spacing w:before="120"/>
    </w:pPr>
    <w:rPr>
      <w:lang w:val="en-US" w:eastAsia="en-US"/>
    </w:rPr>
  </w:style>
  <w:style w:type="paragraph" w:styleId="898">
    <w:name w:val="Верхний колонтитул"/>
    <w:basedOn w:val="884"/>
    <w:next w:val="898"/>
    <w:link w:val="923"/>
    <w:pPr>
      <w:tabs>
        <w:tab w:val="center" w:pos="4536" w:leader="none"/>
        <w:tab w:val="right" w:pos="9072" w:leader="none"/>
      </w:tabs>
    </w:pPr>
    <w:rPr>
      <w:lang w:val="en-US" w:eastAsia="en-US"/>
    </w:rPr>
  </w:style>
  <w:style w:type="paragraph" w:styleId="899">
    <w:name w:val="Нижний колонтитул"/>
    <w:basedOn w:val="884"/>
    <w:next w:val="899"/>
    <w:link w:val="884"/>
    <w:pPr>
      <w:tabs>
        <w:tab w:val="center" w:pos="4536" w:leader="none"/>
        <w:tab w:val="right" w:pos="9072" w:leader="none"/>
      </w:tabs>
    </w:pPr>
  </w:style>
  <w:style w:type="paragraph" w:styleId="900">
    <w:name w:val="Основной текст с отступом"/>
    <w:basedOn w:val="884"/>
    <w:next w:val="900"/>
    <w:link w:val="920"/>
    <w:pPr>
      <w:ind w:left="284" w:firstLine="284"/>
      <w:jc w:val="both"/>
      <w:spacing w:before="60"/>
    </w:pPr>
    <w:rPr>
      <w:lang w:val="en-US" w:eastAsia="en-US"/>
    </w:rPr>
  </w:style>
  <w:style w:type="paragraph" w:styleId="901">
    <w:name w:val="Подпись"/>
    <w:basedOn w:val="884"/>
    <w:next w:val="884"/>
    <w:link w:val="884"/>
    <w:pPr>
      <w:ind w:left="1276"/>
      <w:spacing w:before="600"/>
      <w:tabs>
        <w:tab w:val="left" w:pos="6237" w:leader="none"/>
      </w:tabs>
    </w:pPr>
  </w:style>
  <w:style w:type="paragraph" w:styleId="902">
    <w:name w:val="Стиль1"/>
    <w:basedOn w:val="884"/>
    <w:next w:val="902"/>
    <w:link w:val="884"/>
    <w:qFormat/>
    <w:pPr>
      <w:numPr>
        <w:ilvl w:val="5"/>
        <w:numId w:val="7"/>
      </w:numPr>
      <w:jc w:val="both"/>
      <w:spacing w:before="120"/>
      <w:outlineLvl w:val="5"/>
    </w:pPr>
  </w:style>
  <w:style w:type="paragraph" w:styleId="903">
    <w:name w:val="Стиль2"/>
    <w:basedOn w:val="902"/>
    <w:next w:val="903"/>
    <w:link w:val="884"/>
    <w:qFormat/>
    <w:pPr>
      <w:numPr>
        <w:ilvl w:val="6"/>
        <w:numId w:val="7"/>
      </w:numPr>
      <w:spacing w:before="60"/>
      <w:outlineLvl w:val="6"/>
    </w:pPr>
  </w:style>
  <w:style w:type="paragraph" w:styleId="904">
    <w:name w:val="Перечень рисунков"/>
    <w:basedOn w:val="884"/>
    <w:next w:val="884"/>
    <w:link w:val="884"/>
    <w:semiHidden/>
    <w:pPr>
      <w:ind w:left="480" w:hanging="480"/>
    </w:pPr>
  </w:style>
  <w:style w:type="paragraph" w:styleId="905">
    <w:name w:val="Стиль3"/>
    <w:basedOn w:val="884"/>
    <w:next w:val="905"/>
    <w:link w:val="884"/>
    <w:pPr>
      <w:numPr>
        <w:ilvl w:val="0"/>
        <w:numId w:val="6"/>
      </w:numPr>
      <w:jc w:val="both"/>
    </w:pPr>
  </w:style>
  <w:style w:type="paragraph" w:styleId="906">
    <w:name w:val="Стиль4"/>
    <w:basedOn w:val="884"/>
    <w:next w:val="906"/>
    <w:link w:val="884"/>
    <w:qFormat/>
    <w:pPr>
      <w:numPr>
        <w:ilvl w:val="7"/>
        <w:numId w:val="7"/>
      </w:numPr>
      <w:jc w:val="both"/>
    </w:pPr>
  </w:style>
  <w:style w:type="character" w:styleId="907">
    <w:name w:val="Номер страницы"/>
    <w:basedOn w:val="894"/>
    <w:next w:val="907"/>
    <w:link w:val="884"/>
  </w:style>
  <w:style w:type="character" w:styleId="908">
    <w:name w:val="Гиперссылка"/>
    <w:next w:val="908"/>
    <w:link w:val="884"/>
    <w:rPr>
      <w:color w:val="0000ff"/>
      <w:u w:val="single"/>
    </w:rPr>
  </w:style>
  <w:style w:type="paragraph" w:styleId="909">
    <w:name w:val="Заголовок 0"/>
    <w:basedOn w:val="884"/>
    <w:next w:val="909"/>
    <w:link w:val="884"/>
    <w:pPr>
      <w:jc w:val="center"/>
      <w:spacing w:before="1440"/>
    </w:pPr>
    <w:rPr>
      <w:rFonts w:ascii="Arial" w:hAnsi="Arial" w:cs="Arial"/>
      <w:sz w:val="40"/>
      <w:szCs w:val="40"/>
    </w:rPr>
  </w:style>
  <w:style w:type="paragraph" w:styleId="910">
    <w:name w:val="Оглавление 1"/>
    <w:basedOn w:val="884"/>
    <w:next w:val="910"/>
    <w:link w:val="884"/>
    <w:pPr>
      <w:keepNext/>
      <w:spacing w:before="240"/>
      <w:tabs>
        <w:tab w:val="right" w:pos="9072" w:leader="dot"/>
      </w:tabs>
    </w:pPr>
    <w:rPr>
      <w:caps/>
      <w:szCs w:val="24"/>
    </w:rPr>
  </w:style>
  <w:style w:type="paragraph" w:styleId="911">
    <w:name w:val="Оглавление 2"/>
    <w:basedOn w:val="884"/>
    <w:next w:val="884"/>
    <w:link w:val="884"/>
    <w:pPr>
      <w:numPr>
        <w:ilvl w:val="0"/>
        <w:numId w:val="4"/>
      </w:numPr>
      <w:ind w:right="567"/>
      <w:keepLines/>
      <w:spacing w:before="60"/>
      <w:tabs>
        <w:tab w:val="right" w:pos="9072" w:leader="dot"/>
      </w:tabs>
    </w:pPr>
    <w:rPr>
      <w:szCs w:val="24"/>
    </w:rPr>
  </w:style>
  <w:style w:type="paragraph" w:styleId="912">
    <w:name w:val="Оглавление 3"/>
    <w:basedOn w:val="884"/>
    <w:next w:val="884"/>
    <w:link w:val="884"/>
    <w:pPr>
      <w:numPr>
        <w:ilvl w:val="2"/>
        <w:numId w:val="4"/>
      </w:numPr>
      <w:ind w:right="567"/>
      <w:keepLines/>
      <w:spacing w:before="60"/>
      <w:tabs>
        <w:tab w:val="left" w:pos="1995" w:leader="none"/>
        <w:tab w:val="right" w:pos="9072" w:leader="dot"/>
      </w:tabs>
    </w:pPr>
    <w:rPr>
      <w:szCs w:val="24"/>
    </w:rPr>
  </w:style>
  <w:style w:type="paragraph" w:styleId="913">
    <w:name w:val="Оглавление 4"/>
    <w:basedOn w:val="884"/>
    <w:next w:val="884"/>
    <w:link w:val="884"/>
    <w:pPr>
      <w:numPr>
        <w:ilvl w:val="3"/>
        <w:numId w:val="5"/>
      </w:numPr>
      <w:ind w:right="567"/>
      <w:keepLines/>
      <w:spacing w:before="60"/>
      <w:tabs>
        <w:tab w:val="left" w:pos="1985" w:leader="none"/>
        <w:tab w:val="right" w:pos="9072" w:leader="dot"/>
      </w:tabs>
    </w:pPr>
  </w:style>
  <w:style w:type="paragraph" w:styleId="914">
    <w:name w:val="Оглавление 5"/>
    <w:basedOn w:val="884"/>
    <w:next w:val="884"/>
    <w:link w:val="884"/>
    <w:pPr>
      <w:ind w:right="567"/>
      <w:keepLines/>
      <w:spacing w:before="60"/>
      <w:tabs>
        <w:tab w:val="right" w:pos="9072" w:leader="dot"/>
      </w:tabs>
    </w:pPr>
  </w:style>
  <w:style w:type="paragraph" w:styleId="915">
    <w:name w:val="Текст выноски"/>
    <w:basedOn w:val="884"/>
    <w:next w:val="915"/>
    <w:link w:val="916"/>
    <w:rPr>
      <w:rFonts w:ascii="Tahoma" w:hAnsi="Tahoma"/>
      <w:sz w:val="16"/>
      <w:szCs w:val="16"/>
      <w:lang w:val="en-US" w:eastAsia="en-US"/>
    </w:rPr>
  </w:style>
  <w:style w:type="character" w:styleId="916">
    <w:name w:val="Текст выноски Знак"/>
    <w:next w:val="916"/>
    <w:link w:val="915"/>
    <w:rPr>
      <w:rFonts w:ascii="Tahoma" w:hAnsi="Tahoma" w:cs="Tahoma"/>
      <w:sz w:val="16"/>
      <w:szCs w:val="16"/>
    </w:rPr>
  </w:style>
  <w:style w:type="character" w:styleId="917">
    <w:name w:val="Заголовок 1 Знак"/>
    <w:next w:val="917"/>
    <w:link w:val="885"/>
    <w:rPr>
      <w:rFonts w:ascii="Arial" w:hAnsi="Arial"/>
      <w:b/>
      <w:sz w:val="28"/>
    </w:rPr>
  </w:style>
  <w:style w:type="character" w:styleId="918">
    <w:name w:val="Заголовок 4 Знак"/>
    <w:next w:val="918"/>
    <w:link w:val="888"/>
    <w:rPr>
      <w:b/>
      <w:sz w:val="24"/>
    </w:rPr>
  </w:style>
  <w:style w:type="character" w:styleId="919">
    <w:name w:val="Основной текст Знак"/>
    <w:next w:val="919"/>
    <w:link w:val="897"/>
    <w:rPr>
      <w:sz w:val="24"/>
    </w:rPr>
  </w:style>
  <w:style w:type="character" w:styleId="920">
    <w:name w:val="Основной текст с отступом Знак"/>
    <w:next w:val="920"/>
    <w:link w:val="900"/>
    <w:rPr>
      <w:sz w:val="24"/>
    </w:rPr>
  </w:style>
  <w:style w:type="paragraph" w:styleId="921">
    <w:name w:val="ConsPlusNormal"/>
    <w:next w:val="921"/>
    <w:link w:val="884"/>
    <w:pPr>
      <w:ind w:firstLine="720"/>
    </w:pPr>
    <w:rPr>
      <w:rFonts w:ascii="Arial" w:hAnsi="Arial" w:cs="Arial"/>
      <w:lang w:val="ru-RU" w:eastAsia="ru-RU" w:bidi="ar-SA"/>
    </w:rPr>
  </w:style>
  <w:style w:type="character" w:styleId="922">
    <w:name w:val="Выделение"/>
    <w:next w:val="922"/>
    <w:link w:val="884"/>
    <w:qFormat/>
    <w:rPr>
      <w:i/>
      <w:iCs/>
    </w:rPr>
  </w:style>
  <w:style w:type="character" w:styleId="923">
    <w:name w:val="Верхний колонтитул Знак"/>
    <w:next w:val="923"/>
    <w:link w:val="898"/>
    <w:rPr>
      <w:sz w:val="24"/>
    </w:rPr>
  </w:style>
  <w:style w:type="paragraph" w:styleId="924">
    <w:name w:val="Обычный (веб)"/>
    <w:basedOn w:val="884"/>
    <w:next w:val="924"/>
    <w:link w:val="884"/>
    <w:pPr>
      <w:spacing w:before="100" w:beforeAutospacing="1" w:after="100" w:afterAutospacing="1"/>
    </w:pPr>
    <w:rPr>
      <w:szCs w:val="24"/>
    </w:rPr>
  </w:style>
  <w:style w:type="paragraph" w:styleId="925">
    <w:name w:val="formattext topleveltext"/>
    <w:basedOn w:val="884"/>
    <w:next w:val="925"/>
    <w:link w:val="884"/>
    <w:pPr>
      <w:spacing w:before="100" w:beforeAutospacing="1" w:after="100" w:afterAutospacing="1"/>
    </w:pPr>
    <w:rPr>
      <w:szCs w:val="24"/>
    </w:rPr>
  </w:style>
  <w:style w:type="paragraph" w:styleId="926">
    <w:name w:val=" Знак Знак1 Знак"/>
    <w:basedOn w:val="884"/>
    <w:next w:val="926"/>
    <w:link w:val="884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styleId="927">
    <w:name w:val="apple-converted-space"/>
    <w:basedOn w:val="894"/>
    <w:next w:val="927"/>
    <w:link w:val="884"/>
  </w:style>
  <w:style w:type="character" w:styleId="928" w:default="1">
    <w:name w:val="Default Paragraph Font"/>
    <w:uiPriority w:val="1"/>
    <w:semiHidden/>
    <w:unhideWhenUsed/>
  </w:style>
  <w:style w:type="numbering" w:styleId="929" w:default="1">
    <w:name w:val="No List"/>
    <w:uiPriority w:val="99"/>
    <w:semiHidden/>
    <w:unhideWhenUsed/>
  </w:style>
  <w:style w:type="table" w:styleId="930" w:default="1">
    <w:name w:val="Normal Table"/>
    <w:uiPriority w:val="99"/>
    <w:semiHidden/>
    <w:unhideWhenUsed/>
    <w:tblPr/>
  </w:style>
  <w:style w:type="paragraph" w:styleId="931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SOBRANIE</Company>
  <DocSecurity>0</DocSecurity>
  <HyperlinksChanged>false</HyperlinksChanged>
  <ScaleCrop>false</ScaleCrop>
  <SharedDoc>false</SharedDoc>
  <Template>_Закон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Закон Пензенской области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</dc:title>
  <dc:creator>Казаков Сергей Александрович</dc:creator>
  <dc:description>Принят
Подписан</dc:description>
  <cp:revision>17</cp:revision>
  <dcterms:created xsi:type="dcterms:W3CDTF">2021-09-01T15:35:00Z</dcterms:created>
  <dcterms:modified xsi:type="dcterms:W3CDTF">2026-06-30T09:38:50Z</dcterms:modified>
  <cp:version>917504</cp:version>
</cp:coreProperties>
</file>