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086" w:rsidRDefault="0030564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(ВЫПИСКА)</w:t>
      </w:r>
    </w:p>
    <w:p w:rsidR="004E5086" w:rsidRDefault="004E5086">
      <w:pPr>
        <w:jc w:val="center"/>
        <w:rPr>
          <w:b/>
          <w:sz w:val="28"/>
          <w:szCs w:val="28"/>
        </w:rPr>
      </w:pPr>
    </w:p>
    <w:p w:rsidR="004E5086" w:rsidRDefault="00711D8D">
      <w:pPr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ДОЛЖНОСТНОЙ РЕГЛАМЕНТ</w:t>
      </w:r>
    </w:p>
    <w:p w:rsidR="004E5086" w:rsidRDefault="00711D8D">
      <w:pPr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главного специалиста-эксперта отдела социального обслуживания населения Управления по социальному сопровождению отдельных категорий граждан Министерства труда, социальной защиты и демографии Пензенской области</w:t>
      </w:r>
    </w:p>
    <w:p w:rsidR="004E5086" w:rsidRDefault="004E5086">
      <w:pPr>
        <w:jc w:val="center"/>
        <w:rPr>
          <w:sz w:val="28"/>
          <w:szCs w:val="28"/>
        </w:rPr>
      </w:pPr>
    </w:p>
    <w:p w:rsidR="00305640" w:rsidRDefault="00305640">
      <w:pPr>
        <w:jc w:val="center"/>
        <w:rPr>
          <w:b/>
          <w:sz w:val="28"/>
          <w:szCs w:val="28"/>
        </w:rPr>
      </w:pPr>
    </w:p>
    <w:p w:rsidR="004E5086" w:rsidRDefault="00711D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Квалификационные требования для замещения</w:t>
      </w:r>
    </w:p>
    <w:p w:rsidR="004E5086" w:rsidRDefault="00711D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должности гражданской службы</w:t>
      </w:r>
    </w:p>
    <w:p w:rsidR="004E5086" w:rsidRDefault="004E5086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</w:p>
    <w:p w:rsidR="004E5086" w:rsidRDefault="00711D8D">
      <w:pPr>
        <w:tabs>
          <w:tab w:val="left" w:pos="900"/>
          <w:tab w:val="left" w:pos="1080"/>
          <w:tab w:val="left" w:pos="1260"/>
        </w:tabs>
        <w:spacing w:line="235" w:lineRule="auto"/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 Для замещения должности главный специалист - эксперт отдела устанавливаются следующие квалификационные требования:</w:t>
      </w:r>
    </w:p>
    <w:p w:rsidR="004E5086" w:rsidRDefault="00711D8D">
      <w:pPr>
        <w:tabs>
          <w:tab w:val="left" w:pos="900"/>
          <w:tab w:val="left" w:pos="1080"/>
          <w:tab w:val="left" w:pos="1260"/>
        </w:tabs>
        <w:spacing w:line="235" w:lineRule="auto"/>
        <w:ind w:firstLine="720"/>
        <w:jc w:val="both"/>
        <w:outlineLvl w:val="1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7.1. Наличие высшего образования. </w:t>
      </w:r>
    </w:p>
    <w:p w:rsidR="004E5086" w:rsidRDefault="00711D8D">
      <w:pPr>
        <w:tabs>
          <w:tab w:val="left" w:pos="900"/>
          <w:tab w:val="left" w:pos="1080"/>
          <w:tab w:val="left" w:pos="1260"/>
        </w:tabs>
        <w:spacing w:line="235" w:lineRule="auto"/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7.2. Требования к стажу не предъявляются.</w:t>
      </w:r>
    </w:p>
    <w:p w:rsidR="004E5086" w:rsidRDefault="00711D8D">
      <w:pPr>
        <w:tabs>
          <w:tab w:val="left" w:pos="900"/>
          <w:tab w:val="left" w:pos="1080"/>
          <w:tab w:val="left" w:pos="1260"/>
        </w:tabs>
        <w:spacing w:line="235" w:lineRule="auto"/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7.3. Профессиональный уровень:</w:t>
      </w:r>
    </w:p>
    <w:p w:rsidR="004E5086" w:rsidRDefault="00711D8D">
      <w:pPr>
        <w:tabs>
          <w:tab w:val="left" w:pos="900"/>
          <w:tab w:val="left" w:pos="1080"/>
          <w:tab w:val="left" w:pos="1260"/>
        </w:tabs>
        <w:spacing w:line="235" w:lineRule="auto"/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7.3.1. Наличие базовых знаний:</w:t>
      </w:r>
    </w:p>
    <w:p w:rsidR="004E5086" w:rsidRDefault="00711D8D">
      <w:pPr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1) знание государственного языка Российской Федерации (русского языка);</w:t>
      </w:r>
    </w:p>
    <w:p w:rsidR="004E5086" w:rsidRDefault="00711D8D">
      <w:pPr>
        <w:tabs>
          <w:tab w:val="left" w:pos="900"/>
          <w:tab w:val="left" w:pos="1080"/>
          <w:tab w:val="left" w:pos="1260"/>
        </w:tabs>
        <w:spacing w:line="235" w:lineRule="auto"/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2) знания основ Конституции Российской Федерации, законодательства о государственной гражданской службе, законодательства о противодействии коррупции;</w:t>
      </w:r>
    </w:p>
    <w:p w:rsidR="004E5086" w:rsidRDefault="00711D8D">
      <w:pPr>
        <w:tabs>
          <w:tab w:val="left" w:pos="900"/>
          <w:tab w:val="left" w:pos="1080"/>
          <w:tab w:val="left" w:pos="1260"/>
        </w:tabs>
        <w:spacing w:line="235" w:lineRule="auto"/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3) знания в области информационно-коммуникационных технологий (знание основ информационной безопасности и защиты информации, основных положений законодательства о персональных данных, об электронной подписи, общих принципов функционирования системы электронного документооборота, знания по применению персонального компьютера).</w:t>
      </w:r>
    </w:p>
    <w:p w:rsidR="004E5086" w:rsidRDefault="00711D8D">
      <w:pPr>
        <w:tabs>
          <w:tab w:val="left" w:pos="900"/>
          <w:tab w:val="left" w:pos="1080"/>
          <w:tab w:val="left" w:pos="1260"/>
        </w:tabs>
        <w:spacing w:line="228" w:lineRule="auto"/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7.3.2. Наличие профессиональных знаний:</w:t>
      </w:r>
    </w:p>
    <w:p w:rsidR="004E5086" w:rsidRDefault="00711D8D">
      <w:pPr>
        <w:tabs>
          <w:tab w:val="left" w:pos="900"/>
          <w:tab w:val="left" w:pos="1080"/>
          <w:tab w:val="left" w:pos="1260"/>
        </w:tabs>
        <w:spacing w:line="228" w:lineRule="auto"/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7.3.2.1. В сфере законодательства Российской Федерации:</w:t>
      </w:r>
    </w:p>
    <w:p w:rsidR="004E5086" w:rsidRDefault="00711D8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Федеральный закон от 12.01.1996 № 7-ФЗ «О некоммерческих организациях» (с последующими изменениями); </w:t>
      </w:r>
    </w:p>
    <w:p w:rsidR="004E5086" w:rsidRDefault="00711D8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Бюджетный кодекс Российской Федерации от 31.07.1998 № 145-ФЗ </w:t>
      </w:r>
      <w:r>
        <w:rPr>
          <w:sz w:val="28"/>
          <w:szCs w:val="28"/>
        </w:rPr>
        <w:br w:type="textWrapping" w:clear="all"/>
        <w:t>(с последующими изменениями);</w:t>
      </w:r>
    </w:p>
    <w:p w:rsidR="004E5086" w:rsidRDefault="00711D8D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Федеральный закон от 02.05.2006 № 59-ФЗ «О порядке рассмотрения обращений граждан Российской Федерации» (с последующими изменениями);</w:t>
      </w:r>
    </w:p>
    <w:p w:rsidR="004E5086" w:rsidRDefault="00711D8D">
      <w:pPr>
        <w:tabs>
          <w:tab w:val="left" w:pos="142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4) </w:t>
      </w:r>
      <w:r>
        <w:rPr>
          <w:sz w:val="28"/>
          <w:szCs w:val="28"/>
        </w:rPr>
        <w:t xml:space="preserve">Постановление Правительства Российской Федерации от 01.03.2011 </w:t>
      </w:r>
      <w:r>
        <w:rPr>
          <w:sz w:val="28"/>
          <w:szCs w:val="28"/>
        </w:rPr>
        <w:br w:type="textWrapping" w:clear="all"/>
        <w:t>№ 121 «О Всероссийском конкурсе профессионального мастерства в сфере социального обслуживания» (с последующими изменениями);</w:t>
      </w:r>
    </w:p>
    <w:p w:rsidR="004E5086" w:rsidRDefault="00711D8D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proofErr w:type="gramStart"/>
      <w:r>
        <w:rPr>
          <w:spacing w:val="-4"/>
          <w:sz w:val="28"/>
          <w:szCs w:val="28"/>
        </w:rPr>
        <w:t>5) Постановление Правительства Российской Федерации от 25.10.2023</w:t>
      </w:r>
      <w:r>
        <w:rPr>
          <w:spacing w:val="-4"/>
          <w:sz w:val="28"/>
          <w:szCs w:val="28"/>
        </w:rPr>
        <w:br w:type="textWrapping" w:clear="all"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</w:t>
      </w:r>
      <w:proofErr w:type="gramEnd"/>
      <w:r>
        <w:rPr>
          <w:spacing w:val="-4"/>
          <w:sz w:val="28"/>
          <w:szCs w:val="28"/>
        </w:rPr>
        <w:t xml:space="preserve"> грантов в форме субсидий» (с последующими изменениями);</w:t>
      </w:r>
    </w:p>
    <w:p w:rsidR="004E5086" w:rsidRDefault="00711D8D">
      <w:pPr>
        <w:tabs>
          <w:tab w:val="left" w:pos="142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6) Распоряжение Правительства Российской Федерации от 08.06.2016 </w:t>
      </w:r>
      <w:r>
        <w:rPr>
          <w:sz w:val="28"/>
          <w:szCs w:val="28"/>
        </w:rPr>
        <w:br w:type="textWrapping" w:clear="all"/>
        <w:t>№ 1144-р «Об утверждении плана мероприятий («дорожной карты») «Поддержка доступа негосударственных организаций к предоставлению услуг в социальной сфере»;</w:t>
      </w:r>
    </w:p>
    <w:p w:rsidR="004E5086" w:rsidRDefault="00711D8D">
      <w:pPr>
        <w:tabs>
          <w:tab w:val="left" w:pos="142"/>
          <w:tab w:val="left" w:pos="900"/>
          <w:tab w:val="left" w:pos="1080"/>
          <w:tab w:val="left" w:pos="1260"/>
        </w:tabs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>7) Приказ Минтруда России от 28.07.2021 № 520н «О проведении Всероссийского конкурса профессионального мастерства в сфере социального обслуживания» (с последующими изменениями);</w:t>
      </w:r>
    </w:p>
    <w:p w:rsidR="004E5086" w:rsidRDefault="00711D8D">
      <w:pPr>
        <w:tabs>
          <w:tab w:val="left" w:pos="142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Приказ Министерства финансов Российской Федерации  от 27.04.2024 № 53н «Об утверждении </w:t>
      </w:r>
      <w:proofErr w:type="gramStart"/>
      <w:r>
        <w:rPr>
          <w:sz w:val="28"/>
          <w:szCs w:val="28"/>
        </w:rPr>
        <w:t>Порядка проведения мониторинга достижения результатов предоставления</w:t>
      </w:r>
      <w:proofErr w:type="gramEnd"/>
      <w:r>
        <w:rPr>
          <w:sz w:val="28"/>
          <w:szCs w:val="28"/>
        </w:rPr>
        <w:t xml:space="preserve">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услуг»</w:t>
      </w:r>
    </w:p>
    <w:p w:rsidR="004E5086" w:rsidRDefault="00711D8D">
      <w:pPr>
        <w:tabs>
          <w:tab w:val="left" w:pos="142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Устав Пензенской области от 15.04.2022 (с последующими изменениями);</w:t>
      </w:r>
    </w:p>
    <w:p w:rsidR="004E5086" w:rsidRDefault="00711D8D">
      <w:pPr>
        <w:tabs>
          <w:tab w:val="left" w:pos="142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Закон Пензенской области от 22.12.2006 № 1176-ЗПО «О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области» </w:t>
      </w:r>
      <w:r>
        <w:rPr>
          <w:sz w:val="28"/>
          <w:szCs w:val="28"/>
        </w:rPr>
        <w:br w:type="textWrapping" w:clear="all"/>
        <w:t>(с последующими изменениями);</w:t>
      </w:r>
    </w:p>
    <w:p w:rsidR="004E5086" w:rsidRDefault="00711D8D">
      <w:pPr>
        <w:tabs>
          <w:tab w:val="left" w:pos="142"/>
          <w:tab w:val="left" w:pos="900"/>
          <w:tab w:val="left" w:pos="1080"/>
          <w:tab w:val="left" w:pos="126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11) Закон Пензенской области от 29.03.2024 № 4171-ЗПО «О социальном обслуживании граждан в Пензенской области» </w:t>
      </w:r>
      <w:r>
        <w:rPr>
          <w:color w:val="000000" w:themeColor="text1"/>
          <w:sz w:val="28"/>
          <w:szCs w:val="28"/>
        </w:rPr>
        <w:t>(с последующими изменениями);</w:t>
      </w:r>
    </w:p>
    <w:p w:rsidR="004E5086" w:rsidRDefault="00711D8D">
      <w:pPr>
        <w:tabs>
          <w:tab w:val="left" w:pos="142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12) Постановление Правительства Пензенской о</w:t>
      </w:r>
      <w:r>
        <w:rPr>
          <w:sz w:val="28"/>
          <w:szCs w:val="28"/>
        </w:rPr>
        <w:t>бласти от 31.03.2012 № 33-пП «Об утверждении Положения о Министерстве труда, социальной защиты и демографии Пензенской области» (с последующими изменениями);</w:t>
      </w:r>
    </w:p>
    <w:p w:rsidR="004E5086" w:rsidRDefault="00711D8D">
      <w:pPr>
        <w:widowControl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13) Постановление Правительства Пензенской области от 25.10.2012 № 762-пП «О ф</w:t>
      </w:r>
      <w:r>
        <w:rPr>
          <w:rFonts w:eastAsia="Calibri"/>
          <w:sz w:val="28"/>
          <w:szCs w:val="28"/>
        </w:rPr>
        <w:t>ормировании и ведении реестра социально ориентированных некоммерческих организаций - получателей поддержки, оказываемой исполнительными органами Пензенской области» (с последующими изменениями);</w:t>
      </w:r>
    </w:p>
    <w:p w:rsidR="004E5086" w:rsidRDefault="00711D8D">
      <w:pPr>
        <w:tabs>
          <w:tab w:val="left" w:pos="142"/>
          <w:tab w:val="left" w:pos="900"/>
          <w:tab w:val="left" w:pos="1080"/>
          <w:tab w:val="left" w:pos="126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14) Постановление Правительства Пензенской области от 30.10.2013 </w:t>
      </w:r>
      <w:r>
        <w:rPr>
          <w:color w:val="000000" w:themeColor="text1"/>
          <w:sz w:val="28"/>
          <w:szCs w:val="28"/>
        </w:rPr>
        <w:br w:type="textWrapping" w:clear="all"/>
        <w:t>№ 805-пП «Об утверждении государственной программы Пензенской области «Социальная поддержка граждан в Пензенской области» (с последующими изменениями);</w:t>
      </w:r>
    </w:p>
    <w:p w:rsidR="004E5086" w:rsidRDefault="00711D8D">
      <w:pPr>
        <w:tabs>
          <w:tab w:val="left" w:pos="142"/>
          <w:tab w:val="left" w:pos="900"/>
          <w:tab w:val="left" w:pos="1080"/>
          <w:tab w:val="left" w:pos="126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15) Постановление Правительства Пензенской области от 30.01.2023</w:t>
      </w:r>
      <w:r>
        <w:rPr>
          <w:color w:val="000000" w:themeColor="text1"/>
          <w:sz w:val="28"/>
          <w:szCs w:val="28"/>
        </w:rPr>
        <w:br w:type="textWrapping" w:clear="all"/>
        <w:t>№ 44-пП «Об утверждении Порядка предоставления субсидии юридическим лицам и индивидуальным предпринимателям на финансовое обеспечение затрат при оказании социальных услуг по уходу, входящих в социальный пакет долговременного ухода, гражданам, нуждающимся в уходе» (с последующими изменениями);</w:t>
      </w:r>
    </w:p>
    <w:p w:rsidR="004E5086" w:rsidRDefault="00711D8D">
      <w:pPr>
        <w:tabs>
          <w:tab w:val="left" w:pos="142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16) По</w:t>
      </w:r>
      <w:r>
        <w:rPr>
          <w:sz w:val="28"/>
          <w:szCs w:val="28"/>
        </w:rPr>
        <w:t xml:space="preserve">становление Правительства Пензенской области от 28.09.2023 </w:t>
      </w:r>
      <w:r>
        <w:rPr>
          <w:sz w:val="28"/>
          <w:szCs w:val="28"/>
        </w:rPr>
        <w:br w:type="textWrapping" w:clear="all"/>
        <w:t xml:space="preserve">№ 848-пП «Об утверждении Порядка разработки и реализации государственных программ Пензенской области» (с последующими изменениями);14) Постановление Правительства Пензенской области от </w:t>
      </w:r>
      <w:r>
        <w:rPr>
          <w:sz w:val="28"/>
          <w:szCs w:val="28"/>
        </w:rPr>
        <w:lastRenderedPageBreak/>
        <w:t>28.06.2024 № 406-пП «Об утверждении Порядка предоставления субсидий из бюджета Пензенской области на государственную поддержку отдельных общественных и иных некоммерческих организаций» (с последующими изменениями);</w:t>
      </w:r>
      <w:proofErr w:type="gramEnd"/>
    </w:p>
    <w:p w:rsidR="004E5086" w:rsidRDefault="00711D8D">
      <w:pPr>
        <w:tabs>
          <w:tab w:val="left" w:pos="142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17) Постановление Правительства Пензенской области от 29.11.2024</w:t>
      </w:r>
      <w:r>
        <w:rPr>
          <w:sz w:val="28"/>
          <w:szCs w:val="28"/>
        </w:rPr>
        <w:br w:type="textWrapping" w:clear="all"/>
        <w:t>№ 952-пП «Об утверждении порядка выплаты поставщику или поставщикам социальных услуг компенсации, если гражданин получает социальные услуги, предусмотренные индивидуальной программой, а также срочные социальные услуги у поставщика или поставщиков социальных услуг, которые включены в реестр поставщиков социальных услуг Пензенской области, но не участвуют в выполнении государственного задания (заказа)» (с последующими изменениями);</w:t>
      </w:r>
      <w:proofErr w:type="gramEnd"/>
    </w:p>
    <w:p w:rsidR="004E5086" w:rsidRDefault="00711D8D">
      <w:pPr>
        <w:tabs>
          <w:tab w:val="left" w:pos="142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18) Распоряжение Правительства Пензенской области от 15.10.2021 </w:t>
      </w:r>
      <w:r>
        <w:rPr>
          <w:sz w:val="28"/>
          <w:szCs w:val="28"/>
        </w:rPr>
        <w:br w:type="textWrapping" w:clear="all"/>
        <w:t>№ 591-рП «Об утверждении Комплексного плана Пензенской области по обеспечению поэтапного доступа негосударственных организаций, осуществляющих деятельность в социальной сфере, к бюджетным средствам, выд</w:t>
      </w:r>
      <w:r>
        <w:rPr>
          <w:color w:val="000000" w:themeColor="text1"/>
          <w:sz w:val="28"/>
          <w:szCs w:val="28"/>
        </w:rPr>
        <w:t>еляемым на предоставление социальных услуг населению, на 2021 - 2024 годы» (с последующими изменениями);</w:t>
      </w:r>
    </w:p>
    <w:p w:rsidR="004E5086" w:rsidRDefault="00711D8D">
      <w:pPr>
        <w:tabs>
          <w:tab w:val="left" w:pos="142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19) Распоряжение Правительства Пензенской области от 25.12.2023</w:t>
      </w:r>
      <w:r>
        <w:rPr>
          <w:sz w:val="28"/>
          <w:szCs w:val="28"/>
        </w:rPr>
        <w:br w:type="textWrapping" w:clear="all"/>
        <w:t>№ 1234-рП «Об утверждении Паспорта государственной программы Пензенской области «Социальная поддержка граждан в Пензенской области»;</w:t>
      </w:r>
    </w:p>
    <w:p w:rsidR="004E5086" w:rsidRDefault="00711D8D">
      <w:pPr>
        <w:tabs>
          <w:tab w:val="left" w:pos="142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20) Приказ Министерства труда, социальной защиты и демографии Пензенской области от 08.12.2014 № 620-ОС «Об утверждении Комплексного плана по формированию и развитию рынка социальных услуг, в том числе по развитию негосударственных организаций социального обслуживания граждан в Пензенской области» (с последующими изменениями);</w:t>
      </w:r>
    </w:p>
    <w:p w:rsidR="004E5086" w:rsidRDefault="00711D8D">
      <w:pPr>
        <w:widowControl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21) Приказ Министерства финансов Пензенской области от 05.02.2024</w:t>
      </w:r>
      <w:r>
        <w:rPr>
          <w:sz w:val="28"/>
          <w:szCs w:val="28"/>
        </w:rPr>
        <w:br w:type="textWrapping" w:clear="all"/>
        <w:t>№ 22-6 «</w:t>
      </w:r>
      <w:r>
        <w:rPr>
          <w:rFonts w:eastAsia="Calibri"/>
          <w:sz w:val="28"/>
          <w:szCs w:val="28"/>
        </w:rPr>
        <w:t>Об утверждении Типовой формы соглашения (договора) о предоставлении из бюджета Пензенской области субсидий, в том числе грантов в форме субси</w:t>
      </w:r>
      <w:r>
        <w:rPr>
          <w:rFonts w:eastAsia="Calibri"/>
          <w:color w:val="000000" w:themeColor="text1"/>
          <w:sz w:val="28"/>
          <w:szCs w:val="28"/>
        </w:rPr>
        <w:t>дий, юридическим лицам, индивидуальным предпринимателям, а также физическим лицам» (с последующими изменениями);</w:t>
      </w:r>
    </w:p>
    <w:p w:rsidR="004E5086" w:rsidRDefault="00711D8D">
      <w:pPr>
        <w:tabs>
          <w:tab w:val="left" w:pos="142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22) иное законодательство в развитие названных нормативных правовых актов.</w:t>
      </w:r>
    </w:p>
    <w:p w:rsidR="004E5086" w:rsidRDefault="00711D8D">
      <w:pPr>
        <w:tabs>
          <w:tab w:val="left" w:pos="900"/>
          <w:tab w:val="left" w:pos="1080"/>
          <w:tab w:val="left" w:pos="1260"/>
        </w:tabs>
        <w:spacing w:line="228" w:lineRule="auto"/>
        <w:ind w:left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7.3.2.2. Иные профессиональные знания:</w:t>
      </w:r>
    </w:p>
    <w:p w:rsidR="004E5086" w:rsidRDefault="00711D8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современная методология управления проектами;</w:t>
      </w:r>
    </w:p>
    <w:p w:rsidR="004E5086" w:rsidRDefault="00711D8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технология эффективного внедрения проектного управления;</w:t>
      </w:r>
    </w:p>
    <w:p w:rsidR="004E5086" w:rsidRDefault="00711D8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порядок разработки, утверждения и реализации государственных целевых программ;</w:t>
      </w:r>
    </w:p>
    <w:p w:rsidR="004E5086" w:rsidRDefault="00711D8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порядок подготовки нормативных правовых актов;</w:t>
      </w:r>
    </w:p>
    <w:p w:rsidR="004E5086" w:rsidRDefault="00711D8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основные права и обязанности должностных лиц при проведении проверок;</w:t>
      </w:r>
    </w:p>
    <w:p w:rsidR="004E5086" w:rsidRDefault="00711D8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возможности и особенности применения современных коммуникационных технологий;</w:t>
      </w:r>
    </w:p>
    <w:p w:rsidR="004E5086" w:rsidRDefault="00711D8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виды и условия предоставления государственных гарантий;</w:t>
      </w:r>
    </w:p>
    <w:p w:rsidR="004E5086" w:rsidRDefault="00711D8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формы и методы планирования проведения проверок юридических лиц и индивидуальных предпринимателей;</w:t>
      </w:r>
    </w:p>
    <w:p w:rsidR="004E5086" w:rsidRDefault="00711D8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9) знание нормативных правовых актов Российской Федерации и Пензенской области по вопросам социальной защиты населения;</w:t>
      </w:r>
    </w:p>
    <w:p w:rsidR="004E5086" w:rsidRDefault="00711D8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знание нормативных правовых актов Российской Федерации и Пензенской области по вопросам социального обслуживания населения.</w:t>
      </w:r>
    </w:p>
    <w:p w:rsidR="004E5086" w:rsidRDefault="00711D8D">
      <w:pPr>
        <w:tabs>
          <w:tab w:val="left" w:pos="900"/>
          <w:tab w:val="left" w:pos="1080"/>
          <w:tab w:val="left" w:pos="1260"/>
        </w:tabs>
        <w:spacing w:line="228" w:lineRule="auto"/>
        <w:ind w:firstLine="72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7.3.3. Наличие функциональных знаний:</w:t>
      </w:r>
    </w:p>
    <w:p w:rsidR="004E5086" w:rsidRDefault="00711D8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понятие нормы права, нормативного правового акта, правоотношений и их признаки;</w:t>
      </w:r>
    </w:p>
    <w:p w:rsidR="004E5086" w:rsidRDefault="00711D8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понятие проекта нормативного правового акта, инструменты и этапы его разработки;</w:t>
      </w:r>
    </w:p>
    <w:p w:rsidR="004E5086" w:rsidRDefault="00711D8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понятие, процедура рассмотрения обращений граждан;</w:t>
      </w:r>
    </w:p>
    <w:p w:rsidR="004E5086" w:rsidRDefault="00711D8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принципы предоставления государственных услуг;</w:t>
      </w:r>
    </w:p>
    <w:p w:rsidR="004E5086" w:rsidRDefault="00711D8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порядок, требования, этапы и принципы разработки административного регламента. </w:t>
      </w:r>
    </w:p>
    <w:p w:rsidR="004E5086" w:rsidRDefault="00711D8D">
      <w:pPr>
        <w:spacing w:line="238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7.3.4. Наличие базовых умений:</w:t>
      </w:r>
    </w:p>
    <w:p w:rsidR="004E5086" w:rsidRDefault="00711D8D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1) умение мыслить системно (стратегически);</w:t>
      </w:r>
    </w:p>
    <w:p w:rsidR="004E5086" w:rsidRDefault="00711D8D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2) умение планировать, рационально использовать служебное время и достигать результата;</w:t>
      </w:r>
    </w:p>
    <w:p w:rsidR="004E5086" w:rsidRDefault="00711D8D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3) коммуникативные умения;</w:t>
      </w:r>
    </w:p>
    <w:p w:rsidR="004E5086" w:rsidRDefault="00711D8D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4) умение управлять изменениями;</w:t>
      </w:r>
    </w:p>
    <w:p w:rsidR="004E5086" w:rsidRDefault="00711D8D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5) умения по применению персонального компьютера;</w:t>
      </w:r>
    </w:p>
    <w:p w:rsidR="004E5086" w:rsidRDefault="00711D8D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6) умение руководить подчиненными, эффективно планировать, организовывать работу и контролировать ее выполнение;</w:t>
      </w:r>
    </w:p>
    <w:p w:rsidR="004E5086" w:rsidRDefault="00711D8D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7) умение оперативно принимать и реализовывать управленческие решения.</w:t>
      </w:r>
    </w:p>
    <w:p w:rsidR="004E5086" w:rsidRDefault="00711D8D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7.3.5. Наличие профессиональных умений:</w:t>
      </w:r>
    </w:p>
    <w:p w:rsidR="004E5086" w:rsidRDefault="00711D8D">
      <w:pPr>
        <w:tabs>
          <w:tab w:val="left" w:pos="9033"/>
        </w:tabs>
        <w:ind w:left="34" w:firstLine="675"/>
        <w:jc w:val="both"/>
        <w:rPr>
          <w:sz w:val="28"/>
          <w:szCs w:val="28"/>
        </w:rPr>
      </w:pPr>
      <w:r>
        <w:rPr>
          <w:sz w:val="28"/>
          <w:szCs w:val="28"/>
        </w:rPr>
        <w:t>1) подготовка проектов законов, нормативных правовых актов;</w:t>
      </w:r>
    </w:p>
    <w:p w:rsidR="004E5086" w:rsidRDefault="00711D8D">
      <w:pPr>
        <w:tabs>
          <w:tab w:val="left" w:pos="9033"/>
        </w:tabs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2) разработка методических рекомендаций;</w:t>
      </w:r>
    </w:p>
    <w:p w:rsidR="004E5086" w:rsidRDefault="00711D8D">
      <w:pPr>
        <w:pStyle w:val="12"/>
        <w:spacing w:after="0" w:line="240" w:lineRule="auto"/>
        <w:ind w:left="0" w:right="-31" w:firstLine="675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3) подготовка и проведение учебных занятий (семинаров) по вопросам служебной деятельности.</w:t>
      </w:r>
    </w:p>
    <w:p w:rsidR="004E5086" w:rsidRDefault="00711D8D">
      <w:pPr>
        <w:ind w:firstLine="675"/>
        <w:jc w:val="both"/>
      </w:pPr>
      <w:r>
        <w:rPr>
          <w:sz w:val="28"/>
          <w:szCs w:val="28"/>
        </w:rPr>
        <w:t>4) обобщение практики применения законодательства и проведения анализа реализации государственной политики по вопросам, отнесенным к компетенции отдела;</w:t>
      </w:r>
    </w:p>
    <w:p w:rsidR="004E5086" w:rsidRDefault="00711D8D">
      <w:pPr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5) рассмотрение обращений граждан и организаций по вопросам, отнесенным к компетенции отдела Министерства, в установленные сроки.</w:t>
      </w:r>
    </w:p>
    <w:p w:rsidR="004E5086" w:rsidRDefault="00711D8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7.3.6. Наличие функциональных умений:</w:t>
      </w:r>
    </w:p>
    <w:p w:rsidR="004E5086" w:rsidRPr="007B4757" w:rsidRDefault="00711D8D">
      <w:pPr>
        <w:pStyle w:val="a3"/>
        <w:numPr>
          <w:ilvl w:val="0"/>
          <w:numId w:val="8"/>
        </w:numPr>
        <w:tabs>
          <w:tab w:val="num" w:pos="720"/>
          <w:tab w:val="left" w:pos="900"/>
          <w:tab w:val="left" w:pos="1080"/>
          <w:tab w:val="left" w:pos="1260"/>
        </w:tabs>
        <w:ind w:left="0" w:firstLine="709"/>
        <w:jc w:val="both"/>
        <w:rPr>
          <w:spacing w:val="-4"/>
          <w:sz w:val="28"/>
          <w:szCs w:val="28"/>
          <w:lang w:val="ru-RU"/>
        </w:rPr>
      </w:pPr>
      <w:r w:rsidRPr="007B4757">
        <w:rPr>
          <w:sz w:val="28"/>
          <w:szCs w:val="28"/>
          <w:lang w:val="ru-RU"/>
        </w:rPr>
        <w:t>разработка, рассмотрение и согласование проектов нормативных правовых актов и других документов;</w:t>
      </w:r>
    </w:p>
    <w:p w:rsidR="004E5086" w:rsidRPr="007B4757" w:rsidRDefault="00711D8D">
      <w:pPr>
        <w:pStyle w:val="a3"/>
        <w:numPr>
          <w:ilvl w:val="0"/>
          <w:numId w:val="8"/>
        </w:numPr>
        <w:tabs>
          <w:tab w:val="num" w:pos="720"/>
          <w:tab w:val="left" w:pos="900"/>
          <w:tab w:val="left" w:pos="1080"/>
          <w:tab w:val="left" w:pos="1260"/>
        </w:tabs>
        <w:ind w:left="0" w:firstLine="709"/>
        <w:jc w:val="both"/>
        <w:rPr>
          <w:spacing w:val="-4"/>
          <w:sz w:val="28"/>
          <w:szCs w:val="28"/>
          <w:lang w:val="ru-RU"/>
        </w:rPr>
      </w:pPr>
      <w:r w:rsidRPr="007B4757">
        <w:rPr>
          <w:sz w:val="28"/>
          <w:szCs w:val="28"/>
          <w:lang w:val="ru-RU"/>
        </w:rPr>
        <w:t xml:space="preserve">подготовка аналитических, информационных и других материалов; </w:t>
      </w:r>
    </w:p>
    <w:p w:rsidR="004E5086" w:rsidRPr="007B4757" w:rsidRDefault="00711D8D">
      <w:pPr>
        <w:pStyle w:val="a3"/>
        <w:numPr>
          <w:ilvl w:val="0"/>
          <w:numId w:val="8"/>
        </w:numPr>
        <w:tabs>
          <w:tab w:val="num" w:pos="720"/>
          <w:tab w:val="left" w:pos="900"/>
          <w:tab w:val="left" w:pos="1080"/>
          <w:tab w:val="left" w:pos="1260"/>
        </w:tabs>
        <w:ind w:left="0" w:firstLine="709"/>
        <w:jc w:val="both"/>
        <w:rPr>
          <w:spacing w:val="-4"/>
          <w:sz w:val="28"/>
          <w:szCs w:val="28"/>
          <w:lang w:val="ru-RU"/>
        </w:rPr>
      </w:pPr>
      <w:r w:rsidRPr="007B4757">
        <w:rPr>
          <w:sz w:val="28"/>
          <w:szCs w:val="28"/>
          <w:lang w:val="ru-RU"/>
        </w:rPr>
        <w:t>рассмотрение запросов, ходатайств, уведомлений, жалоб;</w:t>
      </w:r>
    </w:p>
    <w:p w:rsidR="004E5086" w:rsidRDefault="00711D8D">
      <w:pPr>
        <w:pStyle w:val="a3"/>
        <w:numPr>
          <w:ilvl w:val="0"/>
          <w:numId w:val="8"/>
        </w:numPr>
        <w:tabs>
          <w:tab w:val="num" w:pos="720"/>
          <w:tab w:val="left" w:pos="900"/>
          <w:tab w:val="left" w:pos="1080"/>
          <w:tab w:val="left" w:pos="1260"/>
        </w:tabs>
        <w:ind w:left="0" w:firstLine="709"/>
        <w:jc w:val="both"/>
        <w:rPr>
          <w:spacing w:val="-4"/>
          <w:sz w:val="28"/>
          <w:szCs w:val="28"/>
        </w:rPr>
      </w:pPr>
      <w:proofErr w:type="spellStart"/>
      <w:r>
        <w:rPr>
          <w:sz w:val="28"/>
          <w:szCs w:val="28"/>
        </w:rPr>
        <w:t>проведение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консультаций</w:t>
      </w:r>
      <w:proofErr w:type="spellEnd"/>
      <w:r>
        <w:rPr>
          <w:sz w:val="28"/>
          <w:szCs w:val="28"/>
        </w:rPr>
        <w:t>;</w:t>
      </w:r>
    </w:p>
    <w:p w:rsidR="004E5086" w:rsidRPr="007B4757" w:rsidRDefault="00711D8D">
      <w:pPr>
        <w:pStyle w:val="a3"/>
        <w:numPr>
          <w:ilvl w:val="0"/>
          <w:numId w:val="8"/>
        </w:numPr>
        <w:tabs>
          <w:tab w:val="num" w:pos="720"/>
          <w:tab w:val="left" w:pos="900"/>
          <w:tab w:val="left" w:pos="1080"/>
          <w:tab w:val="left" w:pos="1260"/>
        </w:tabs>
        <w:ind w:left="0" w:firstLine="709"/>
        <w:jc w:val="both"/>
        <w:rPr>
          <w:spacing w:val="-4"/>
          <w:sz w:val="28"/>
          <w:szCs w:val="28"/>
          <w:lang w:val="ru-RU"/>
        </w:rPr>
      </w:pPr>
      <w:r w:rsidRPr="007B4757">
        <w:rPr>
          <w:sz w:val="28"/>
          <w:szCs w:val="28"/>
          <w:lang w:val="ru-RU"/>
        </w:rPr>
        <w:t>организация подготовки разъяснений гражданам и организациям.</w:t>
      </w:r>
    </w:p>
    <w:p w:rsidR="004E5086" w:rsidRPr="007B4757" w:rsidRDefault="004E5086">
      <w:pPr>
        <w:ind w:firstLine="709"/>
        <w:jc w:val="both"/>
        <w:rPr>
          <w:b/>
          <w:bCs/>
          <w:sz w:val="28"/>
          <w:szCs w:val="28"/>
        </w:rPr>
      </w:pPr>
    </w:p>
    <w:p w:rsidR="004E5086" w:rsidRDefault="00711D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Должностные обязанности</w:t>
      </w:r>
    </w:p>
    <w:p w:rsidR="004E5086" w:rsidRDefault="004E5086">
      <w:pPr>
        <w:ind w:firstLine="540"/>
        <w:jc w:val="both"/>
        <w:rPr>
          <w:sz w:val="28"/>
          <w:szCs w:val="28"/>
        </w:rPr>
      </w:pPr>
    </w:p>
    <w:p w:rsidR="004E5086" w:rsidRDefault="00711D8D">
      <w:pPr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 Основные обязанности </w:t>
      </w:r>
      <w:r>
        <w:rPr>
          <w:color w:val="000000" w:themeColor="text1"/>
          <w:sz w:val="28"/>
          <w:szCs w:val="28"/>
        </w:rPr>
        <w:t>главного специалиста – эксперта отдела,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ограничения, запреты и требования к служебному поведению установлены статьями 15 – 18, 20, 20.1, 20.2, 20.3 Федерального закона от </w:t>
      </w:r>
      <w:r>
        <w:rPr>
          <w:sz w:val="28"/>
          <w:szCs w:val="28"/>
        </w:rPr>
        <w:lastRenderedPageBreak/>
        <w:t>27.07.2004 № 79-ФЗ «О государственной гражданской службе Российской Федерации» (с последующими изменениями).</w:t>
      </w:r>
    </w:p>
    <w:p w:rsidR="004E5086" w:rsidRDefault="00711D8D">
      <w:pPr>
        <w:tabs>
          <w:tab w:val="left" w:pos="0"/>
          <w:tab w:val="left" w:pos="1080"/>
        </w:tabs>
        <w:spacing w:line="245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9. В целях реализации задач и функций, возложенных на отдел</w:t>
      </w:r>
      <w:r>
        <w:rPr>
          <w:color w:val="FF0000"/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социального обслуживания населения </w:t>
      </w:r>
      <w:r>
        <w:rPr>
          <w:spacing w:val="-6"/>
          <w:sz w:val="28"/>
          <w:szCs w:val="28"/>
        </w:rPr>
        <w:t>Министерства труда, социальной защиты и демографии Пензенской области</w:t>
      </w:r>
      <w:r>
        <w:rPr>
          <w:sz w:val="28"/>
          <w:szCs w:val="28"/>
        </w:rPr>
        <w:t xml:space="preserve"> (далее - отдел), </w:t>
      </w:r>
      <w:r>
        <w:rPr>
          <w:spacing w:val="-4"/>
          <w:sz w:val="28"/>
          <w:szCs w:val="28"/>
        </w:rPr>
        <w:t>главный специалист - эксперт отдела обязан:</w:t>
      </w:r>
    </w:p>
    <w:p w:rsidR="004E5086" w:rsidRDefault="00711D8D">
      <w:pPr>
        <w:shd w:val="clear" w:color="auto" w:fill="FFFFFF"/>
        <w:spacing w:line="22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обеспечивать реализацию Федерального закона от 28.12.2013 </w:t>
      </w:r>
      <w:r>
        <w:rPr>
          <w:sz w:val="28"/>
          <w:szCs w:val="28"/>
        </w:rPr>
        <w:br w:type="textWrapping" w:clear="all"/>
        <w:t>№ 442-ФЗ «Об основах социального обслуживания граждан в Российской Федерации» (с последующими изменениями и дополнениями);</w:t>
      </w:r>
    </w:p>
    <w:p w:rsidR="004E5086" w:rsidRDefault="00711D8D">
      <w:pPr>
        <w:shd w:val="clear" w:color="auto" w:fill="FFFFFF"/>
        <w:spacing w:line="22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разрабатывать предложения по формированию и развитию рынка социальных услуг, в том числе по развитию негосударственных организаций социального обслуживания;</w:t>
      </w:r>
    </w:p>
    <w:p w:rsidR="004E5086" w:rsidRDefault="00711D8D">
      <w:pPr>
        <w:tabs>
          <w:tab w:val="left" w:pos="0"/>
          <w:tab w:val="left" w:pos="1080"/>
        </w:tabs>
        <w:spacing w:line="245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3</w:t>
      </w:r>
      <w:r>
        <w:rPr>
          <w:spacing w:val="-4"/>
          <w:sz w:val="28"/>
          <w:szCs w:val="28"/>
        </w:rPr>
        <w:t>) обеспечивать проведение отборов получателей субсидий на Едином портале бюджетной системы Российской Федерации;</w:t>
      </w:r>
    </w:p>
    <w:p w:rsidR="004E5086" w:rsidRDefault="00711D8D">
      <w:pPr>
        <w:tabs>
          <w:tab w:val="left" w:pos="0"/>
          <w:tab w:val="left" w:pos="1080"/>
        </w:tabs>
        <w:spacing w:line="245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4) разрабатывать проекты соглашений о предоставлении из бюджета Пензенской области субсидий социально ориентированным некоммерческим организациям, предоставляющие услуги в сфере социального обслуживания, а также обеспечивать контроль над исполнением условий данных соглашений;</w:t>
      </w:r>
    </w:p>
    <w:p w:rsidR="004E5086" w:rsidRDefault="00711D8D">
      <w:pPr>
        <w:tabs>
          <w:tab w:val="left" w:pos="0"/>
          <w:tab w:val="left" w:pos="1080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оказывать консультативную и методическую помощь социально ориентированным некоммерческим организациям в организации их работы по предоставлению услуг в сфере социального обслуживания;</w:t>
      </w:r>
    </w:p>
    <w:p w:rsidR="004E5086" w:rsidRDefault="00711D8D">
      <w:pPr>
        <w:tabs>
          <w:tab w:val="left" w:pos="0"/>
          <w:tab w:val="left" w:pos="1080"/>
        </w:tabs>
        <w:spacing w:line="235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6) вносить предложения для разработки законодательства Пензенской области по реализации на территории Пензенской области возможности предоставления социальных услуг поставщиками социальных услуг, которые включены в реестр поставщиков социальных услуг, но не участвуют в выполнении государственного задания, а также порядка и размера предоставления компенсации за оказанные социальные услуги указанным поставщикам;</w:t>
      </w:r>
      <w:proofErr w:type="gramEnd"/>
    </w:p>
    <w:p w:rsidR="004E5086" w:rsidRDefault="00711D8D">
      <w:pPr>
        <w:shd w:val="clear" w:color="auto" w:fill="FFFFFF"/>
        <w:spacing w:line="22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7) организовывать работу по разработке и реализации планов мероприятий («дорожных карт») по содействию развитию конкуренции в сфере социального обслуживания населения;</w:t>
      </w:r>
    </w:p>
    <w:p w:rsidR="004E5086" w:rsidRDefault="00711D8D">
      <w:pPr>
        <w:tabs>
          <w:tab w:val="left" w:pos="0"/>
          <w:tab w:val="left" w:pos="1080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организовывать оказание методической, информационной поддержки социально ориентированным некоммерческим организациям, индивидуальным предпринимателям, оказывающим социальные услуги;</w:t>
      </w:r>
    </w:p>
    <w:p w:rsidR="004E5086" w:rsidRDefault="00711D8D">
      <w:pPr>
        <w:tabs>
          <w:tab w:val="left" w:pos="0"/>
          <w:tab w:val="left" w:pos="1080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осуществлять подготовку, ведение, администрирование регионального этапа Всероссийского конкурса профессионального мастерства в сфере социального обслуживания, оказывать методическую помощь участникам конкурса - поставщикам социальных услуг;</w:t>
      </w:r>
    </w:p>
    <w:p w:rsidR="004E5086" w:rsidRDefault="00711D8D">
      <w:pPr>
        <w:tabs>
          <w:tab w:val="left" w:pos="0"/>
          <w:tab w:val="left" w:pos="1080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обеспечивать координацию деятельности негосударственных поставщиков социальных услуг, общественных организаций и иных организаций, осуществляющих деятельность в сфере социального обслуживания;</w:t>
      </w:r>
    </w:p>
    <w:p w:rsidR="004E5086" w:rsidRDefault="00711D8D">
      <w:pPr>
        <w:tabs>
          <w:tab w:val="left" w:pos="0"/>
          <w:tab w:val="left" w:pos="1080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>
        <w:rPr>
          <w:spacing w:val="2"/>
          <w:sz w:val="28"/>
          <w:szCs w:val="28"/>
        </w:rPr>
        <w:t>формирование отчетов в программно-информационном комплексе Минтруда России;</w:t>
      </w:r>
    </w:p>
    <w:p w:rsidR="004E5086" w:rsidRDefault="00711D8D">
      <w:pPr>
        <w:tabs>
          <w:tab w:val="left" w:pos="0"/>
          <w:tab w:val="left" w:pos="1080"/>
        </w:tabs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12) готовить аналитические материалы к докладам, отчеты, справки по курируемым направлениям работы </w:t>
      </w:r>
      <w:r w:rsidR="007B4757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тдела;</w:t>
      </w:r>
    </w:p>
    <w:p w:rsidR="004E5086" w:rsidRDefault="00711D8D">
      <w:pPr>
        <w:tabs>
          <w:tab w:val="left" w:pos="0"/>
          <w:tab w:val="left" w:pos="1080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13) размещать отчетные материалы в государственных информационных системах;</w:t>
      </w:r>
    </w:p>
    <w:p w:rsidR="004E5086" w:rsidRDefault="00711D8D">
      <w:pPr>
        <w:tabs>
          <w:tab w:val="left" w:pos="0"/>
          <w:tab w:val="left" w:pos="1080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14) участвовать в разработке планов и программ семинаров, совещаний, конференций в части касающейся;</w:t>
      </w:r>
    </w:p>
    <w:p w:rsidR="004E5086" w:rsidRDefault="00711D8D">
      <w:pPr>
        <w:tabs>
          <w:tab w:val="left" w:pos="0"/>
          <w:tab w:val="left" w:pos="1080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15) участвовать в проведении областных мероприятий, фестивалей, конкурсов;</w:t>
      </w:r>
    </w:p>
    <w:p w:rsidR="004E5086" w:rsidRDefault="00711D8D">
      <w:pPr>
        <w:tabs>
          <w:tab w:val="left" w:pos="0"/>
          <w:tab w:val="left" w:pos="1080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 осуществлять подготовку и реализацию инновационных программ и технологий по курируемым направлениям;  </w:t>
      </w:r>
    </w:p>
    <w:p w:rsidR="004E5086" w:rsidRDefault="00711D8D">
      <w:pPr>
        <w:tabs>
          <w:tab w:val="left" w:pos="1276"/>
        </w:tabs>
        <w:spacing w:line="235" w:lineRule="auto"/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17) г</w:t>
      </w:r>
      <w:r>
        <w:rPr>
          <w:spacing w:val="-6"/>
          <w:sz w:val="28"/>
          <w:szCs w:val="28"/>
        </w:rPr>
        <w:t>отовить проекты нормативных правовых актов по профилю своей профессиональной служебной деятельности и согласовывать их в установленном законодательством порядке;</w:t>
      </w:r>
    </w:p>
    <w:p w:rsidR="004E5086" w:rsidRDefault="00711D8D">
      <w:pPr>
        <w:tabs>
          <w:tab w:val="left" w:pos="0"/>
          <w:tab w:val="left" w:pos="1080"/>
        </w:tabs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18) выполнять иные поручения начальника </w:t>
      </w:r>
      <w:r w:rsidR="007B4757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тдела в пределах полномочий </w:t>
      </w:r>
      <w:r w:rsidR="007B4757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тдела;</w:t>
      </w:r>
    </w:p>
    <w:p w:rsidR="004E5086" w:rsidRDefault="00711D8D">
      <w:pPr>
        <w:widowControl/>
        <w:spacing w:line="245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19)</w:t>
      </w:r>
      <w:r>
        <w:rPr>
          <w:i/>
          <w:color w:val="000000" w:themeColor="text1"/>
          <w:spacing w:val="-6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 xml:space="preserve">соблюдать правила делопроизводства, в том </w:t>
      </w:r>
      <w:r>
        <w:rPr>
          <w:sz w:val="28"/>
          <w:szCs w:val="28"/>
        </w:rPr>
        <w:t xml:space="preserve">числе учитывать и хранить полученные на исполнение документы и материалы, своевременно сдавать их </w:t>
      </w:r>
      <w:proofErr w:type="gramStart"/>
      <w:r>
        <w:rPr>
          <w:sz w:val="28"/>
          <w:szCs w:val="28"/>
        </w:rPr>
        <w:t>ответственному</w:t>
      </w:r>
      <w:proofErr w:type="gramEnd"/>
      <w:r>
        <w:rPr>
          <w:sz w:val="28"/>
          <w:szCs w:val="28"/>
        </w:rPr>
        <w:t xml:space="preserve"> за делопроизводство, в том числе при уходе в отпуск, убытии в командировку, в случае болезни или оставления должности;</w:t>
      </w:r>
    </w:p>
    <w:p w:rsidR="004E5086" w:rsidRDefault="00711D8D">
      <w:pPr>
        <w:widowControl/>
        <w:spacing w:line="245" w:lineRule="auto"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20) </w:t>
      </w:r>
      <w:r>
        <w:rPr>
          <w:sz w:val="28"/>
          <w:szCs w:val="28"/>
        </w:rPr>
        <w:t xml:space="preserve">сообщать представителю нанимателя о личной заинтересованности </w:t>
      </w:r>
      <w:r>
        <w:rPr>
          <w:spacing w:val="-6"/>
          <w:sz w:val="28"/>
          <w:szCs w:val="28"/>
        </w:rPr>
        <w:t>при исполнении должностных обязанностей, которая может привести к конфликту</w:t>
      </w:r>
      <w:r>
        <w:rPr>
          <w:sz w:val="28"/>
          <w:szCs w:val="28"/>
        </w:rPr>
        <w:t xml:space="preserve"> интересов, принимать меры к предотвращению такого конфликта;</w:t>
      </w:r>
    </w:p>
    <w:p w:rsidR="004E5086" w:rsidRDefault="00711D8D">
      <w:pPr>
        <w:tabs>
          <w:tab w:val="num" w:pos="0"/>
          <w:tab w:val="left" w:pos="1320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21)</w:t>
      </w:r>
      <w:r>
        <w:rPr>
          <w:i/>
          <w:spacing w:val="-6"/>
          <w:sz w:val="28"/>
          <w:szCs w:val="28"/>
        </w:rPr>
        <w:t> </w:t>
      </w:r>
      <w:r>
        <w:rPr>
          <w:sz w:val="28"/>
          <w:szCs w:val="28"/>
        </w:rPr>
        <w:t>соблюдать установленные действующим законодательством Российской Федерации требования информационной безопасности и защите персональных данных;</w:t>
      </w:r>
    </w:p>
    <w:p w:rsidR="004E5086" w:rsidRDefault="00711D8D">
      <w:pPr>
        <w:widowControl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22) участвовать в рассмотрении обращений граждан в соответствии с действующим законодательством о порядке рассмотрения обращений граждан Российской Федерации;</w:t>
      </w:r>
    </w:p>
    <w:p w:rsidR="004E5086" w:rsidRDefault="00711D8D">
      <w:pPr>
        <w:tabs>
          <w:tab w:val="left" w:pos="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23) обеспечить подготовку материалов по курируемым направлениям деятельности на заседаниях коллегии Министерства;</w:t>
      </w:r>
    </w:p>
    <w:p w:rsidR="004E5086" w:rsidRDefault="00711D8D">
      <w:pPr>
        <w:tabs>
          <w:tab w:val="left" w:pos="0"/>
          <w:tab w:val="left" w:pos="1134"/>
        </w:tabs>
        <w:spacing w:line="245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24) осуществлять прием, обработку, копирование, хранение, предоставление, распространение, блокирование и уничтожение персональных данных, принимать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распространения, а также от иных неправомерных действий в отношении персональных данных в соответствии с Федеральным законом от 27.07.2006 №152-ФЗ «О персональных данных» (с последующими</w:t>
      </w:r>
      <w:proofErr w:type="gramEnd"/>
      <w:r>
        <w:rPr>
          <w:sz w:val="28"/>
          <w:szCs w:val="28"/>
        </w:rPr>
        <w:t xml:space="preserve"> изменениями) в пределах своих должностных полномочий; </w:t>
      </w:r>
    </w:p>
    <w:p w:rsidR="004E5086" w:rsidRDefault="00711D8D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25) соблюдать требования по охране труда и обеспечению безопасности труда;</w:t>
      </w:r>
    </w:p>
    <w:p w:rsidR="004E5086" w:rsidRDefault="00711D8D">
      <w:pPr>
        <w:tabs>
          <w:tab w:val="left" w:pos="0"/>
          <w:tab w:val="left" w:pos="1134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26) соблюдать требования по обеспечению мер пожарной безопасности.</w:t>
      </w:r>
    </w:p>
    <w:p w:rsidR="004E5086" w:rsidRDefault="00711D8D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Главный специалист – эксперт отдела исполняет иные обязанности, предусмотренные законодательством Российской Федерации, приказами, распоряжениями и поручениями начальника отдела или лица, исполняющего  его обязанности.</w:t>
      </w:r>
    </w:p>
    <w:p w:rsidR="004E5086" w:rsidRDefault="004E5086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4E5086" w:rsidSect="007B4757">
      <w:headerReference w:type="default" r:id="rId8"/>
      <w:endnotePr>
        <w:numFmt w:val="decimal"/>
      </w:endnotePr>
      <w:pgSz w:w="11907" w:h="16840"/>
      <w:pgMar w:top="1134" w:right="851" w:bottom="851" w:left="1418" w:header="720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F7B" w:rsidRDefault="00C16F7B">
      <w:r>
        <w:separator/>
      </w:r>
    </w:p>
  </w:endnote>
  <w:endnote w:type="continuationSeparator" w:id="0">
    <w:p w:rsidR="00C16F7B" w:rsidRDefault="00C16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F7B" w:rsidRDefault="00C16F7B">
      <w:r>
        <w:separator/>
      </w:r>
    </w:p>
  </w:footnote>
  <w:footnote w:type="continuationSeparator" w:id="0">
    <w:p w:rsidR="00C16F7B" w:rsidRDefault="00C16F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086" w:rsidRDefault="00711D8D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305640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B63EE"/>
    <w:multiLevelType w:val="hybridMultilevel"/>
    <w:tmpl w:val="01A0B306"/>
    <w:lvl w:ilvl="0" w:tplc="9528A702">
      <w:start w:val="1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Times New Roman" w:hAnsi="Times New Roman" w:cs="Times New Roman"/>
      </w:rPr>
    </w:lvl>
    <w:lvl w:ilvl="1" w:tplc="8B5CF4C8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/>
      </w:rPr>
    </w:lvl>
    <w:lvl w:ilvl="2" w:tplc="1C88DB74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 w:tplc="6A6621E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 w:tplc="DF10158A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 w:tplc="D28003EA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 w:tplc="9F504E8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 w:tplc="F78C6778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 w:tplc="E10AD7AA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1">
    <w:nsid w:val="18A6520F"/>
    <w:multiLevelType w:val="hybridMultilevel"/>
    <w:tmpl w:val="BAA0FA80"/>
    <w:lvl w:ilvl="0" w:tplc="8AAEC1C8">
      <w:start w:val="1"/>
      <w:numFmt w:val="decimal"/>
      <w:lvlText w:val="%1)"/>
      <w:lvlJc w:val="left"/>
      <w:pPr>
        <w:ind w:left="928" w:hanging="360"/>
      </w:pPr>
    </w:lvl>
    <w:lvl w:ilvl="1" w:tplc="8F58BAFA">
      <w:start w:val="1"/>
      <w:numFmt w:val="lowerLetter"/>
      <w:lvlText w:val="%2."/>
      <w:lvlJc w:val="left"/>
      <w:pPr>
        <w:ind w:left="1440" w:hanging="360"/>
      </w:pPr>
    </w:lvl>
    <w:lvl w:ilvl="2" w:tplc="87CAD70E">
      <w:start w:val="1"/>
      <w:numFmt w:val="lowerRoman"/>
      <w:lvlText w:val="%3."/>
      <w:lvlJc w:val="right"/>
      <w:pPr>
        <w:ind w:left="2160" w:hanging="180"/>
      </w:pPr>
    </w:lvl>
    <w:lvl w:ilvl="3" w:tplc="CF3825B2">
      <w:start w:val="1"/>
      <w:numFmt w:val="decimal"/>
      <w:lvlText w:val="%4."/>
      <w:lvlJc w:val="left"/>
      <w:pPr>
        <w:ind w:left="2880" w:hanging="360"/>
      </w:pPr>
    </w:lvl>
    <w:lvl w:ilvl="4" w:tplc="881057C8">
      <w:start w:val="1"/>
      <w:numFmt w:val="lowerLetter"/>
      <w:lvlText w:val="%5."/>
      <w:lvlJc w:val="left"/>
      <w:pPr>
        <w:ind w:left="3600" w:hanging="360"/>
      </w:pPr>
    </w:lvl>
    <w:lvl w:ilvl="5" w:tplc="196EEE3E">
      <w:start w:val="1"/>
      <w:numFmt w:val="lowerRoman"/>
      <w:lvlText w:val="%6."/>
      <w:lvlJc w:val="right"/>
      <w:pPr>
        <w:ind w:left="4320" w:hanging="180"/>
      </w:pPr>
    </w:lvl>
    <w:lvl w:ilvl="6" w:tplc="88DAB90E">
      <w:start w:val="1"/>
      <w:numFmt w:val="decimal"/>
      <w:lvlText w:val="%7."/>
      <w:lvlJc w:val="left"/>
      <w:pPr>
        <w:ind w:left="5040" w:hanging="360"/>
      </w:pPr>
    </w:lvl>
    <w:lvl w:ilvl="7" w:tplc="E59C3F50">
      <w:start w:val="1"/>
      <w:numFmt w:val="lowerLetter"/>
      <w:lvlText w:val="%8."/>
      <w:lvlJc w:val="left"/>
      <w:pPr>
        <w:ind w:left="5760" w:hanging="360"/>
      </w:pPr>
    </w:lvl>
    <w:lvl w:ilvl="8" w:tplc="5A388FC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61658"/>
    <w:multiLevelType w:val="hybridMultilevel"/>
    <w:tmpl w:val="CB088AEC"/>
    <w:lvl w:ilvl="0" w:tplc="290C3980">
      <w:start w:val="1"/>
      <w:numFmt w:val="decimal"/>
      <w:lvlText w:val="%1."/>
      <w:lvlJc w:val="left"/>
      <w:pPr>
        <w:ind w:left="720" w:hanging="360"/>
      </w:pPr>
    </w:lvl>
    <w:lvl w:ilvl="1" w:tplc="41106C90">
      <w:start w:val="1"/>
      <w:numFmt w:val="lowerLetter"/>
      <w:lvlText w:val="%2."/>
      <w:lvlJc w:val="left"/>
      <w:pPr>
        <w:ind w:left="1440" w:hanging="360"/>
      </w:pPr>
    </w:lvl>
    <w:lvl w:ilvl="2" w:tplc="625C0232">
      <w:start w:val="1"/>
      <w:numFmt w:val="lowerRoman"/>
      <w:lvlText w:val="%3."/>
      <w:lvlJc w:val="right"/>
      <w:pPr>
        <w:ind w:left="2160" w:hanging="180"/>
      </w:pPr>
    </w:lvl>
    <w:lvl w:ilvl="3" w:tplc="961AE2EA">
      <w:start w:val="1"/>
      <w:numFmt w:val="decimal"/>
      <w:lvlText w:val="%4."/>
      <w:lvlJc w:val="left"/>
      <w:pPr>
        <w:ind w:left="2880" w:hanging="360"/>
      </w:pPr>
    </w:lvl>
    <w:lvl w:ilvl="4" w:tplc="C99C0418">
      <w:start w:val="1"/>
      <w:numFmt w:val="lowerLetter"/>
      <w:lvlText w:val="%5."/>
      <w:lvlJc w:val="left"/>
      <w:pPr>
        <w:ind w:left="3600" w:hanging="360"/>
      </w:pPr>
    </w:lvl>
    <w:lvl w:ilvl="5" w:tplc="544A1E0A">
      <w:start w:val="1"/>
      <w:numFmt w:val="lowerRoman"/>
      <w:lvlText w:val="%6."/>
      <w:lvlJc w:val="right"/>
      <w:pPr>
        <w:ind w:left="4320" w:hanging="180"/>
      </w:pPr>
    </w:lvl>
    <w:lvl w:ilvl="6" w:tplc="A9747BFE">
      <w:start w:val="1"/>
      <w:numFmt w:val="decimal"/>
      <w:lvlText w:val="%7."/>
      <w:lvlJc w:val="left"/>
      <w:pPr>
        <w:ind w:left="5040" w:hanging="360"/>
      </w:pPr>
    </w:lvl>
    <w:lvl w:ilvl="7" w:tplc="3B78F612">
      <w:start w:val="1"/>
      <w:numFmt w:val="lowerLetter"/>
      <w:lvlText w:val="%8."/>
      <w:lvlJc w:val="left"/>
      <w:pPr>
        <w:ind w:left="5760" w:hanging="360"/>
      </w:pPr>
    </w:lvl>
    <w:lvl w:ilvl="8" w:tplc="D1AAF7A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E137C"/>
    <w:multiLevelType w:val="hybridMultilevel"/>
    <w:tmpl w:val="79DA2540"/>
    <w:lvl w:ilvl="0" w:tplc="5ECE98D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9E42C9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92A870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A6C770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5125E6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6CA46D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D7A84F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7D4A0A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BE6840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2627444"/>
    <w:multiLevelType w:val="hybridMultilevel"/>
    <w:tmpl w:val="5DA4E87A"/>
    <w:lvl w:ilvl="0" w:tplc="423C768C">
      <w:start w:val="1"/>
      <w:numFmt w:val="decimal"/>
      <w:lvlText w:val="%1)"/>
      <w:lvlJc w:val="left"/>
      <w:pPr>
        <w:ind w:left="1837" w:hanging="1128"/>
      </w:pPr>
    </w:lvl>
    <w:lvl w:ilvl="1" w:tplc="5E00C028">
      <w:start w:val="1"/>
      <w:numFmt w:val="lowerLetter"/>
      <w:lvlText w:val="%2."/>
      <w:lvlJc w:val="left"/>
      <w:pPr>
        <w:ind w:left="1789" w:hanging="360"/>
      </w:pPr>
    </w:lvl>
    <w:lvl w:ilvl="2" w:tplc="6ECAD4A8">
      <w:start w:val="1"/>
      <w:numFmt w:val="lowerRoman"/>
      <w:lvlText w:val="%3."/>
      <w:lvlJc w:val="right"/>
      <w:pPr>
        <w:ind w:left="2509" w:hanging="180"/>
      </w:pPr>
    </w:lvl>
    <w:lvl w:ilvl="3" w:tplc="E16C74FA">
      <w:start w:val="1"/>
      <w:numFmt w:val="decimal"/>
      <w:lvlText w:val="%4."/>
      <w:lvlJc w:val="left"/>
      <w:pPr>
        <w:ind w:left="3229" w:hanging="360"/>
      </w:pPr>
    </w:lvl>
    <w:lvl w:ilvl="4" w:tplc="3A564B0E">
      <w:start w:val="1"/>
      <w:numFmt w:val="lowerLetter"/>
      <w:lvlText w:val="%5."/>
      <w:lvlJc w:val="left"/>
      <w:pPr>
        <w:ind w:left="3949" w:hanging="360"/>
      </w:pPr>
    </w:lvl>
    <w:lvl w:ilvl="5" w:tplc="A4CA68CE">
      <w:start w:val="1"/>
      <w:numFmt w:val="lowerRoman"/>
      <w:lvlText w:val="%6."/>
      <w:lvlJc w:val="right"/>
      <w:pPr>
        <w:ind w:left="4669" w:hanging="180"/>
      </w:pPr>
    </w:lvl>
    <w:lvl w:ilvl="6" w:tplc="4098725E">
      <w:start w:val="1"/>
      <w:numFmt w:val="decimal"/>
      <w:lvlText w:val="%7."/>
      <w:lvlJc w:val="left"/>
      <w:pPr>
        <w:ind w:left="5389" w:hanging="360"/>
      </w:pPr>
    </w:lvl>
    <w:lvl w:ilvl="7" w:tplc="1F989576">
      <w:start w:val="1"/>
      <w:numFmt w:val="lowerLetter"/>
      <w:lvlText w:val="%8."/>
      <w:lvlJc w:val="left"/>
      <w:pPr>
        <w:ind w:left="6109" w:hanging="360"/>
      </w:pPr>
    </w:lvl>
    <w:lvl w:ilvl="8" w:tplc="493A8552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E597178"/>
    <w:multiLevelType w:val="hybridMultilevel"/>
    <w:tmpl w:val="B31CB74A"/>
    <w:lvl w:ilvl="0" w:tplc="2A5095D8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/>
      </w:rPr>
    </w:lvl>
    <w:lvl w:ilvl="1" w:tplc="1F1A7D44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/>
      </w:rPr>
    </w:lvl>
    <w:lvl w:ilvl="2" w:tplc="0D56EE58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 w:tplc="48EAA49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 w:tplc="8EE6B6FA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 w:tplc="4D80AAF8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 w:tplc="6BF885E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 w:tplc="2AA8D456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 w:tplc="99A4C67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6">
    <w:nsid w:val="52327DE4"/>
    <w:multiLevelType w:val="hybridMultilevel"/>
    <w:tmpl w:val="D4461768"/>
    <w:lvl w:ilvl="0" w:tplc="424EF9DC">
      <w:start w:val="1"/>
      <w:numFmt w:val="decimal"/>
      <w:lvlText w:val="%1)"/>
      <w:lvlJc w:val="left"/>
      <w:pPr>
        <w:ind w:left="1429" w:hanging="360"/>
      </w:pPr>
    </w:lvl>
    <w:lvl w:ilvl="1" w:tplc="FCF4D53C">
      <w:start w:val="1"/>
      <w:numFmt w:val="lowerLetter"/>
      <w:lvlText w:val="%2."/>
      <w:lvlJc w:val="left"/>
      <w:pPr>
        <w:ind w:left="2149" w:hanging="360"/>
      </w:pPr>
    </w:lvl>
    <w:lvl w:ilvl="2" w:tplc="D7B288AC">
      <w:start w:val="1"/>
      <w:numFmt w:val="lowerRoman"/>
      <w:lvlText w:val="%3."/>
      <w:lvlJc w:val="right"/>
      <w:pPr>
        <w:ind w:left="2869" w:hanging="180"/>
      </w:pPr>
    </w:lvl>
    <w:lvl w:ilvl="3" w:tplc="9C700D64">
      <w:start w:val="1"/>
      <w:numFmt w:val="decimal"/>
      <w:lvlText w:val="%4."/>
      <w:lvlJc w:val="left"/>
      <w:pPr>
        <w:ind w:left="3589" w:hanging="360"/>
      </w:pPr>
    </w:lvl>
    <w:lvl w:ilvl="4" w:tplc="FEEE7438">
      <w:start w:val="1"/>
      <w:numFmt w:val="lowerLetter"/>
      <w:lvlText w:val="%5."/>
      <w:lvlJc w:val="left"/>
      <w:pPr>
        <w:ind w:left="4309" w:hanging="360"/>
      </w:pPr>
    </w:lvl>
    <w:lvl w:ilvl="5" w:tplc="E738061C">
      <w:start w:val="1"/>
      <w:numFmt w:val="lowerRoman"/>
      <w:lvlText w:val="%6."/>
      <w:lvlJc w:val="right"/>
      <w:pPr>
        <w:ind w:left="5029" w:hanging="180"/>
      </w:pPr>
    </w:lvl>
    <w:lvl w:ilvl="6" w:tplc="A95EF5AC">
      <w:start w:val="1"/>
      <w:numFmt w:val="decimal"/>
      <w:lvlText w:val="%7."/>
      <w:lvlJc w:val="left"/>
      <w:pPr>
        <w:ind w:left="5749" w:hanging="360"/>
      </w:pPr>
    </w:lvl>
    <w:lvl w:ilvl="7" w:tplc="8326CFEC">
      <w:start w:val="1"/>
      <w:numFmt w:val="lowerLetter"/>
      <w:lvlText w:val="%8."/>
      <w:lvlJc w:val="left"/>
      <w:pPr>
        <w:ind w:left="6469" w:hanging="360"/>
      </w:pPr>
    </w:lvl>
    <w:lvl w:ilvl="8" w:tplc="3DB24E52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99F4E36"/>
    <w:multiLevelType w:val="hybridMultilevel"/>
    <w:tmpl w:val="5FD4B520"/>
    <w:lvl w:ilvl="0" w:tplc="3014D8C0">
      <w:start w:val="1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Times New Roman" w:hAnsi="Times New Roman" w:cs="Times New Roman"/>
      </w:rPr>
    </w:lvl>
    <w:lvl w:ilvl="1" w:tplc="ECB686A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/>
      </w:rPr>
    </w:lvl>
    <w:lvl w:ilvl="2" w:tplc="5D061776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 w:tplc="79949BE8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 w:tplc="B21EA16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 w:tplc="760AE0AC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 w:tplc="CCF0B18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 w:tplc="3654BD2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 w:tplc="F366123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86"/>
    <w:rsid w:val="00305640"/>
    <w:rsid w:val="004E5086"/>
    <w:rsid w:val="00711D8D"/>
    <w:rsid w:val="007B4757"/>
    <w:rsid w:val="008B7254"/>
    <w:rsid w:val="00C16F7B"/>
    <w:rsid w:val="00CB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pPr>
      <w:keepNext/>
      <w:widowControl/>
      <w:jc w:val="both"/>
      <w:outlineLvl w:val="0"/>
    </w:pPr>
    <w:rPr>
      <w:sz w:val="24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qFormat/>
    <w:pPr>
      <w:ind w:left="720"/>
      <w:contextualSpacing/>
    </w:pPr>
    <w:rPr>
      <w:lang w:val="en-US" w:eastAsia="en-US"/>
    </w:rPr>
  </w:style>
  <w:style w:type="paragraph" w:styleId="a5">
    <w:name w:val="No Spacing"/>
    <w:uiPriority w:val="1"/>
    <w:qFormat/>
    <w:rPr>
      <w:lang w:eastAsia="zh-CN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rPr>
      <w:lang w:val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Текст сноски Знак"/>
    <w:link w:val="a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rPr>
      <w:rFonts w:ascii="Times New Roman" w:eastAsia="Times New Roman" w:hAnsi="Times New Roman"/>
      <w:lang w:val="en-US"/>
    </w:rPr>
  </w:style>
  <w:style w:type="character" w:customStyle="1" w:styleId="ad">
    <w:name w:val="Верхний колонтитул Знак"/>
    <w:link w:val="ac"/>
    <w:uiPriority w:val="99"/>
    <w:rPr>
      <w:rFonts w:ascii="Times New Roman" w:eastAsia="Times New Roman" w:hAnsi="Times New Roman"/>
    </w:rPr>
  </w:style>
  <w:style w:type="character" w:customStyle="1" w:styleId="af">
    <w:name w:val="Нижний колонтитул Знак"/>
    <w:link w:val="ae"/>
    <w:uiPriority w:val="99"/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pPr>
      <w:widowControl w:val="0"/>
    </w:pPr>
    <w:rPr>
      <w:rFonts w:eastAsia="Times New Roman"/>
      <w:sz w:val="22"/>
    </w:rPr>
  </w:style>
  <w:style w:type="character" w:customStyle="1" w:styleId="ConsPlusNormal0">
    <w:name w:val="ConsPlusNormal Знак"/>
    <w:link w:val="ConsPlusNormal"/>
    <w:rPr>
      <w:rFonts w:eastAsia="Times New Roman"/>
      <w:sz w:val="22"/>
      <w:lang w:bidi="ar-SA"/>
    </w:rPr>
  </w:style>
  <w:style w:type="paragraph" w:customStyle="1" w:styleId="12">
    <w:name w:val="Абзац списка1"/>
    <w:basedOn w:val="a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b">
    <w:name w:val="Balloon Text"/>
    <w:basedOn w:val="a"/>
    <w:link w:val="afc"/>
    <w:uiPriority w:val="99"/>
    <w:semiHidden/>
    <w:unhideWhenUsed/>
    <w:rsid w:val="00CB4F72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CB4F7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pPr>
      <w:keepNext/>
      <w:widowControl/>
      <w:jc w:val="both"/>
      <w:outlineLvl w:val="0"/>
    </w:pPr>
    <w:rPr>
      <w:sz w:val="24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qFormat/>
    <w:pPr>
      <w:ind w:left="720"/>
      <w:contextualSpacing/>
    </w:pPr>
    <w:rPr>
      <w:lang w:val="en-US" w:eastAsia="en-US"/>
    </w:rPr>
  </w:style>
  <w:style w:type="paragraph" w:styleId="a5">
    <w:name w:val="No Spacing"/>
    <w:uiPriority w:val="1"/>
    <w:qFormat/>
    <w:rPr>
      <w:lang w:eastAsia="zh-CN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rPr>
      <w:lang w:val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Текст сноски Знак"/>
    <w:link w:val="a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rPr>
      <w:rFonts w:ascii="Times New Roman" w:eastAsia="Times New Roman" w:hAnsi="Times New Roman"/>
      <w:lang w:val="en-US"/>
    </w:rPr>
  </w:style>
  <w:style w:type="character" w:customStyle="1" w:styleId="ad">
    <w:name w:val="Верхний колонтитул Знак"/>
    <w:link w:val="ac"/>
    <w:uiPriority w:val="99"/>
    <w:rPr>
      <w:rFonts w:ascii="Times New Roman" w:eastAsia="Times New Roman" w:hAnsi="Times New Roman"/>
    </w:rPr>
  </w:style>
  <w:style w:type="character" w:customStyle="1" w:styleId="af">
    <w:name w:val="Нижний колонтитул Знак"/>
    <w:link w:val="ae"/>
    <w:uiPriority w:val="99"/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pPr>
      <w:widowControl w:val="0"/>
    </w:pPr>
    <w:rPr>
      <w:rFonts w:eastAsia="Times New Roman"/>
      <w:sz w:val="22"/>
    </w:rPr>
  </w:style>
  <w:style w:type="character" w:customStyle="1" w:styleId="ConsPlusNormal0">
    <w:name w:val="ConsPlusNormal Знак"/>
    <w:link w:val="ConsPlusNormal"/>
    <w:rPr>
      <w:rFonts w:eastAsia="Times New Roman"/>
      <w:sz w:val="22"/>
      <w:lang w:bidi="ar-SA"/>
    </w:rPr>
  </w:style>
  <w:style w:type="paragraph" w:customStyle="1" w:styleId="12">
    <w:name w:val="Абзац списка1"/>
    <w:basedOn w:val="a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b">
    <w:name w:val="Balloon Text"/>
    <w:basedOn w:val="a"/>
    <w:link w:val="afc"/>
    <w:uiPriority w:val="99"/>
    <w:semiHidden/>
    <w:unhideWhenUsed/>
    <w:rsid w:val="00CB4F72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CB4F7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2216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novikova</dc:creator>
  <cp:lastModifiedBy>work</cp:lastModifiedBy>
  <cp:revision>3</cp:revision>
  <cp:lastPrinted>2025-07-25T13:58:00Z</cp:lastPrinted>
  <dcterms:created xsi:type="dcterms:W3CDTF">2025-07-25T14:01:00Z</dcterms:created>
  <dcterms:modified xsi:type="dcterms:W3CDTF">2025-07-29T11:26:00Z</dcterms:modified>
  <cp:version>1048576</cp:version>
</cp:coreProperties>
</file>